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8727E4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8727E4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7E34A1" w:rsidRPr="007E34A1" w:rsidRDefault="007E34A1" w:rsidP="007E34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  <w:r w:rsidRPr="007E34A1">
        <w:rPr>
          <w:rFonts w:cs="Arial"/>
          <w:bCs/>
          <w:spacing w:val="-2"/>
          <w:sz w:val="20"/>
        </w:rPr>
        <w:t>En relació al pressupost base de licitació del contracte de serveis anomenat «</w:t>
      </w:r>
      <w:r w:rsidRPr="007E34A1">
        <w:rPr>
          <w:rFonts w:cs="Arial"/>
          <w:b/>
          <w:bCs/>
          <w:spacing w:val="-3"/>
          <w:sz w:val="20"/>
          <w:szCs w:val="18"/>
        </w:rPr>
        <w:t>RECOLLIDA DE RESIDUS A TRAVÉS DE LES CENTRALS I XARXES DE RECOLLIDA PNEUMÀTICA DE L’EIX MACIÀ, CENTRE, CAN LLONG I CAN GAMBÚS DE SABADELL</w:t>
      </w:r>
      <w:r w:rsidRPr="007E34A1">
        <w:rPr>
          <w:rFonts w:cs="Arial"/>
          <w:bCs/>
          <w:spacing w:val="-2"/>
          <w:sz w:val="20"/>
        </w:rPr>
        <w:t xml:space="preserve">», es fa constar que el desglossament és el que a continuació es detalla, en compliment de la previsió establerta a l’article 100 de la Llei </w:t>
      </w:r>
      <w:r w:rsidRPr="007E34A1">
        <w:rPr>
          <w:rFonts w:cs="Arial"/>
          <w:spacing w:val="-3"/>
          <w:sz w:val="20"/>
          <w:szCs w:val="24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p w:rsidR="007E34A1" w:rsidRPr="007E34A1" w:rsidRDefault="007E34A1" w:rsidP="007E34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tbl>
      <w:tblPr>
        <w:tblW w:w="1098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1"/>
        <w:gridCol w:w="851"/>
        <w:gridCol w:w="709"/>
        <w:gridCol w:w="1134"/>
        <w:gridCol w:w="992"/>
        <w:gridCol w:w="992"/>
        <w:gridCol w:w="1134"/>
        <w:gridCol w:w="1134"/>
      </w:tblGrid>
      <w:tr w:rsidR="007E34A1" w:rsidRPr="007E34A1" w:rsidTr="00922ECE">
        <w:trPr>
          <w:trHeight w:val="720"/>
          <w:jc w:val="center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Concepte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Mesura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Unitats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Cost directe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BI 6 %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DG 13 %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 xml:space="preserve">Preu unitari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Total anual (IVA inclòs)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Coordinador de plantes de dilluns a divendres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Jornada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191,45 €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11,49 €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24,89 €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227,83 €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62.652,01 €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Operador de plantes de dilluns a divendres matí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Jornada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153,17 €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9,19 €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19,91 €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182,27 €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100.249,77 €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Operador de plantes de dilluns a divendres tarda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Jornada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153,17 €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9,19 €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19,91 €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182,27 €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50.124,88 €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Operador de plantes dissabtes matí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Jornada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191,46 €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11,49 €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24,89 €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227,84 €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13.032,30 €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Operador de plantes dissabtes tarda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Jornada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191,46 €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11,49 €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24,89 €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227,84 €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13.032,30 €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Operador diumenges i festius matí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Jornada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229,75 €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13,79 €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29,87 €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273,40 €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19.247,54 €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pont grua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2.047,51 €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122,85 €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266,18 €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2.436,54 €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2.680,19 €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Alarma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43,26 €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2,60 €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5,62 €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51,48 €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679,53 €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Alarma Can Gambús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43,26 €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2,60 €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5,62 €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51,48 €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679,53 €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parallamps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210,12 €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12,61 €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27,32 €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250,04 €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275,05 €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parallamps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210,12 €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12,61 €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27,32 €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250,04 €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275,05 €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baixa tensió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190,42 €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11,43 €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24,75 €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226,60 €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249,26 €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baixa tensió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190,42 €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11,43 €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24,75 €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226,60 €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249,26 €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mitja tensió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528,16 €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31,69 €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68,66 €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628,51 €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691,36 €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anual AACC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259,66 €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15,58 €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33,76 €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309,00 €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339,89 €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anual AACC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259,66 €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15,58 €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33,76 €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309,00 €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339,89 €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antiincendis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571,26 €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34,28 €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74,26 €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679,80 €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747,78 €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antiincendis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363,53 €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21,81 €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47,26 €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432,60 €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475,86 €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OCA 5 anys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493,36 €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29,60 €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64,14 €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587,10 €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129,16 €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Revisió i manteniment OCA 5 anys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493,36 €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29,60 €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64,14 €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587,10 €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213,12 €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Canvi filtres antiolors Eix-Centre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18.569,50 €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1.114,17 €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2.414,04 €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22.097,71 €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41.322,71 €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Canvi filtres antiolors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18.569,50 €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1.114,17 €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2.414,04 €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22.097,71 €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12.153,74 €</w:t>
            </w:r>
          </w:p>
        </w:tc>
      </w:tr>
      <w:tr w:rsidR="007E34A1" w:rsidRPr="007E34A1" w:rsidTr="00922ECE">
        <w:trPr>
          <w:trHeight w:val="855"/>
          <w:jc w:val="center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Material fungible lampisteria: petit material de ferreteria, elements fungibles de les bústies (sensors d’ompliment, gomes aïllants, frontisses, ...)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1.230,00 €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73,80 €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159,90 €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1.463,70 €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19.320,84 €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Camió cisterna per desembossar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315,00 €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18,90 €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40,95 €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374,85 €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4.948,02 €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Neteja bústies Centre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1.000,00 €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130,00 €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1.190,00 €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15.708,00 €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Còpies claus comercials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7,42 €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0,45 €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0,96 €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8,83 €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242,82 €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Pintura bústies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3,60 €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7,80 €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71,40 €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5.497,80 €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 xml:space="preserve">Corona bústia - planxa alumini amb vinil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51,00 €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3,06 €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6,63 €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60,69 €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734,35 €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Adhesius bústies - Can Llong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2,30 €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0,14 €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0,30 €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2,74 €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90,32 €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Adhesius bústies - Centre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11,00 €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0,66 €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1,43 €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13,09 €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1.007,93 €</w:t>
            </w:r>
          </w:p>
        </w:tc>
      </w:tr>
      <w:tr w:rsidR="007E34A1" w:rsidRPr="007E34A1" w:rsidTr="00922ECE">
        <w:trPr>
          <w:trHeight w:val="990"/>
          <w:jc w:val="center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Manteniment correctiu d'elements de les instal·lacions a les centrals, xarxes, espai públic i reparacions procedents dels informes mensuals d’operació: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45.944,23 €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2.756,65 €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5.972,75 €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54.673,63 €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60.141,00 €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lastRenderedPageBreak/>
              <w:t>Bomba d'extracció d'aigua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4.000,00 €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240,00 €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520,00 €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4.760,00 €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1.309,00 €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Vàlvula de seccionament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5.710,22 €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342,61 €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742,33 €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6.795,17 €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1.868,67 €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Vàlvula de descàrrega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6.516,43 €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390,99 €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847,14 €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7.754,55 €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2.132,50 €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Canvi de cicló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23.571,43 €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1.414,29 €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3.064,29 €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28.050,00 €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7.713,75 €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Canvi separador rotatiu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3.346,97 €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200,82 €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435,11 €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3.982,89 €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1.095,30 €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Turboextractor 110 kw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32.458,18 €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1.947,49 €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4.219,56 €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38.625,23 €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8.497,55 €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Variadors de freqüència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7.317,12 €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439,03 €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951,23 €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8.707,37 €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2.394,53 €</w:t>
            </w:r>
          </w:p>
        </w:tc>
      </w:tr>
      <w:tr w:rsidR="007E34A1" w:rsidRPr="007E34A1" w:rsidTr="00922ECE">
        <w:trPr>
          <w:trHeight w:val="9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m2 de reparació de canonada interior de 50 cm de diàmetre de la xarxa transport (HardOx de 8 mm de espessor)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1.331,86 €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79,91 €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173,14 €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1.584,91 €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8.717,02 €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 xml:space="preserve">Compressor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9.540,00 €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572,40 €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1.240,20 €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11.352,60 €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6.243,93 €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Contenidors compactadors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27.900,00 €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1.674,00 €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3.627,00 €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33.201,00 €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5.478,17 €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Contenidors Compactadors pont grua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37.800,00 €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2.268,00 €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4.914,00 €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44.982,00 €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7.422,03 €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 xml:space="preserve">Bústia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9.313,44 €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558,81 €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1.210,75 €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11.082,99 €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3.047,82 €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Comporta domèstica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257,06 €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15,42 €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33,42 €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305,91 €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3.364,97 €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4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Comporta comercial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Unitat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2.615,00 €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156,90 €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339,95 €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3.111,85 €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855,76 €</w:t>
            </w:r>
          </w:p>
        </w:tc>
      </w:tr>
      <w:tr w:rsidR="007E34A1" w:rsidRPr="007E34A1" w:rsidTr="00922ECE">
        <w:trPr>
          <w:trHeight w:val="315"/>
          <w:jc w:val="center"/>
        </w:trPr>
        <w:tc>
          <w:tcPr>
            <w:tcW w:w="9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 xml:space="preserve">TOTAL: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sz w:val="16"/>
                <w:szCs w:val="16"/>
              </w:rPr>
              <w:t>427.531,25 €</w:t>
            </w:r>
          </w:p>
        </w:tc>
      </w:tr>
    </w:tbl>
    <w:p w:rsidR="007E34A1" w:rsidRPr="007E34A1" w:rsidRDefault="007E34A1" w:rsidP="007E34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tbl>
      <w:tblPr>
        <w:tblW w:w="48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134"/>
        <w:gridCol w:w="1384"/>
      </w:tblGrid>
      <w:tr w:rsidR="007E34A1" w:rsidRPr="007E34A1" w:rsidTr="00922ECE">
        <w:trPr>
          <w:trHeight w:val="300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color w:val="000000"/>
                <w:sz w:val="16"/>
                <w:szCs w:val="16"/>
              </w:rPr>
              <w:t>Despeses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color w:val="000000"/>
                <w:sz w:val="16"/>
                <w:szCs w:val="16"/>
              </w:rPr>
              <w:t>Sense IVA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color w:val="000000"/>
                <w:sz w:val="16"/>
                <w:szCs w:val="16"/>
              </w:rPr>
              <w:t>Amb IVA (10%)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2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Directes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326.609,05 €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359.269,96 €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E34A1" w:rsidRPr="007E34A1" w:rsidRDefault="007E34A1" w:rsidP="007E34A1">
            <w:pPr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Indirectes: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62.055,72 €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color w:val="000000"/>
                <w:sz w:val="16"/>
                <w:szCs w:val="16"/>
              </w:rPr>
              <w:t>68.261,29 €</w:t>
            </w: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Benefici industrial (6%)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19.596,54 €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Despeses generals (13%)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i/>
                <w:iCs/>
                <w:color w:val="000000"/>
                <w:sz w:val="16"/>
                <w:szCs w:val="16"/>
              </w:rPr>
              <w:t>42.459,18 €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7E34A1" w:rsidRPr="007E34A1" w:rsidTr="00922ECE">
        <w:trPr>
          <w:trHeight w:val="300"/>
          <w:jc w:val="center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color w:val="000000"/>
                <w:sz w:val="16"/>
                <w:szCs w:val="16"/>
              </w:rPr>
              <w:t>TOTAL: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color w:val="000000"/>
                <w:sz w:val="16"/>
                <w:szCs w:val="16"/>
              </w:rPr>
              <w:t>388.664,77 €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7E34A1" w:rsidRPr="007E34A1" w:rsidRDefault="007E34A1" w:rsidP="007E34A1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E34A1">
              <w:rPr>
                <w:rFonts w:cs="Arial"/>
                <w:b/>
                <w:bCs/>
                <w:color w:val="000000"/>
                <w:sz w:val="16"/>
                <w:szCs w:val="16"/>
              </w:rPr>
              <w:t>427.531,25 €</w:t>
            </w:r>
          </w:p>
        </w:tc>
      </w:tr>
    </w:tbl>
    <w:p w:rsidR="007E34A1" w:rsidRPr="007E34A1" w:rsidRDefault="007E34A1" w:rsidP="007E34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p w:rsidR="007E34A1" w:rsidRPr="007E34A1" w:rsidRDefault="007E34A1" w:rsidP="007E34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p w:rsidR="007E34A1" w:rsidRPr="007E34A1" w:rsidRDefault="007E34A1" w:rsidP="007E34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tbl>
      <w:tblPr>
        <w:tblW w:w="86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2699"/>
        <w:gridCol w:w="2725"/>
      </w:tblGrid>
      <w:tr w:rsidR="007E34A1" w:rsidRPr="007E34A1" w:rsidTr="00922ECE">
        <w:trPr>
          <w:trHeight w:val="295"/>
          <w:jc w:val="center"/>
        </w:trPr>
        <w:tc>
          <w:tcPr>
            <w:tcW w:w="864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7E34A1" w:rsidRPr="007E34A1" w:rsidTr="00922ECE">
        <w:trPr>
          <w:trHeight w:val="388"/>
          <w:jc w:val="center"/>
        </w:trPr>
        <w:tc>
          <w:tcPr>
            <w:tcW w:w="86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:rsidR="007E34A1" w:rsidRPr="007E34A1" w:rsidRDefault="007E34A1" w:rsidP="007E34A1">
            <w:pPr>
              <w:rPr>
                <w:rFonts w:cs="Arial"/>
                <w:i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i/>
                <w:color w:val="000000"/>
                <w:sz w:val="18"/>
                <w:szCs w:val="18"/>
              </w:rPr>
              <w:t>Resolución de 12 de marzo de 2024, de la Dirección General de Trabajo, por la que se registran y publican las tablas salariales para 2024 del XX Convenio colectivo nacional de empresas de ingeniería, oficinas de estudios técnicos, inspección, supervisión y control técnico y de calidad.</w:t>
            </w:r>
          </w:p>
          <w:p w:rsidR="007E34A1" w:rsidRPr="007E34A1" w:rsidRDefault="007E34A1" w:rsidP="007E34A1">
            <w:pPr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 xml:space="preserve">Segons el conveni consultat, la taula salarial per les empreses d’enginyeria, estudis tècnics, inspecció, supervisió i control tècnic i de qualitat és la següent: </w:t>
            </w:r>
          </w:p>
          <w:p w:rsidR="007E34A1" w:rsidRPr="007E34A1" w:rsidRDefault="007E34A1" w:rsidP="007E34A1">
            <w:pPr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noProof/>
                <w:color w:val="000000"/>
                <w:sz w:val="18"/>
                <w:szCs w:val="18"/>
                <w:lang w:eastAsia="ca-ES"/>
              </w:rPr>
              <w:lastRenderedPageBreak/>
              <w:drawing>
                <wp:inline distT="0" distB="0" distL="0" distR="0" wp14:anchorId="0F15D5E1" wp14:editId="53BAC03A">
                  <wp:extent cx="5398770" cy="291846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770" cy="291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4A1" w:rsidRPr="007E34A1" w:rsidRDefault="007E34A1" w:rsidP="007E34A1">
            <w:pPr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El personal que treballarà a les centrals pneumàtiques encaixa en els nivells salarials 5 i 6 del esquema publicat al conveni:</w:t>
            </w:r>
          </w:p>
          <w:p w:rsidR="007E34A1" w:rsidRPr="007E34A1" w:rsidRDefault="007E34A1" w:rsidP="007E34A1">
            <w:pPr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sz w:val="18"/>
                <w:szCs w:val="18"/>
              </w:rPr>
              <w:object w:dxaOrig="12015" w:dyaOrig="80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4.4pt;height:283.85pt" o:ole="">
                  <v:imagedata r:id="rId9" o:title=""/>
                </v:shape>
                <o:OLEObject Type="Embed" ProgID="PBrush" ShapeID="_x0000_i1025" DrawAspect="Content" ObjectID="_1803804471" r:id="rId10"/>
              </w:object>
            </w:r>
          </w:p>
          <w:p w:rsidR="007E34A1" w:rsidRPr="007E34A1" w:rsidRDefault="007E34A1" w:rsidP="007E34A1">
            <w:pPr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 xml:space="preserve">Partint del conveni, com a mínim salarial, hem tingut en compte les retribucions salarials de l’anterior licitació –contracte actual– més una millora del 20% per actualitzar-les –segons l’INE, des de juliol del 2021 fins al juliol de 2024 el percentatge nacional de creixement del IPC és de 16,5%. Com el contracte no permetrà variació de preus, i tindrà una durada de entre 2 a 5 anys, hem augmentat fins al 20%. </w:t>
            </w:r>
          </w:p>
        </w:tc>
      </w:tr>
      <w:tr w:rsidR="007E34A1" w:rsidRPr="007E34A1" w:rsidTr="00922ECE">
        <w:trPr>
          <w:trHeight w:val="273"/>
          <w:jc w:val="center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lastRenderedPageBreak/>
              <w:t>Categoria professional</w:t>
            </w:r>
          </w:p>
        </w:tc>
        <w:tc>
          <w:tcPr>
            <w:tcW w:w="2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7E34A1" w:rsidRPr="007E34A1" w:rsidTr="00922ECE">
        <w:trPr>
          <w:trHeight w:val="273"/>
          <w:jc w:val="center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34A1" w:rsidRPr="007E34A1" w:rsidRDefault="007E34A1" w:rsidP="007E34A1">
            <w:pPr>
              <w:rPr>
                <w:rFonts w:cs="Arial"/>
                <w:sz w:val="18"/>
                <w:szCs w:val="18"/>
              </w:rPr>
            </w:pPr>
            <w:r w:rsidRPr="007E34A1">
              <w:rPr>
                <w:rFonts w:cs="Arial"/>
                <w:sz w:val="18"/>
                <w:szCs w:val="18"/>
              </w:rPr>
              <w:t xml:space="preserve">Coordinador de plantes </w:t>
            </w:r>
          </w:p>
        </w:tc>
        <w:tc>
          <w:tcPr>
            <w:tcW w:w="2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52.648,20 €</w:t>
            </w:r>
          </w:p>
        </w:tc>
        <w:tc>
          <w:tcPr>
            <w:tcW w:w="2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7E34A1" w:rsidRPr="007E34A1" w:rsidTr="00922ECE">
        <w:trPr>
          <w:trHeight w:val="273"/>
          <w:jc w:val="center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rPr>
                <w:rFonts w:cs="Arial"/>
                <w:sz w:val="18"/>
                <w:szCs w:val="18"/>
              </w:rPr>
            </w:pPr>
            <w:r w:rsidRPr="007E34A1">
              <w:rPr>
                <w:rFonts w:cs="Arial"/>
                <w:sz w:val="18"/>
                <w:szCs w:val="18"/>
              </w:rPr>
              <w:t xml:space="preserve">Operador de plantes </w:t>
            </w:r>
          </w:p>
        </w:tc>
        <w:tc>
          <w:tcPr>
            <w:tcW w:w="2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E34A1" w:rsidRPr="007E34A1" w:rsidRDefault="007E34A1" w:rsidP="007E34A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42.121,75 €</w:t>
            </w:r>
          </w:p>
        </w:tc>
        <w:tc>
          <w:tcPr>
            <w:tcW w:w="2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34A1" w:rsidRPr="007E34A1" w:rsidRDefault="007E34A1" w:rsidP="007E34A1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7E34A1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</w:tr>
    </w:tbl>
    <w:p w:rsidR="007E34A1" w:rsidRPr="007E34A1" w:rsidRDefault="007E34A1" w:rsidP="007E34A1">
      <w:pPr>
        <w:rPr>
          <w:rFonts w:cs="Arial"/>
        </w:rPr>
      </w:pPr>
    </w:p>
    <w:p w:rsidR="000C5C7B" w:rsidRDefault="000C5C7B" w:rsidP="00403A17">
      <w:pPr>
        <w:rPr>
          <w:sz w:val="20"/>
        </w:rPr>
      </w:pPr>
    </w:p>
    <w:p w:rsidR="00317A51" w:rsidRPr="00317A51" w:rsidRDefault="008727E4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E5F" w:rsidRDefault="00003E5F">
      <w:r>
        <w:separator/>
      </w:r>
    </w:p>
  </w:endnote>
  <w:endnote w:type="continuationSeparator" w:id="0">
    <w:p w:rsidR="00003E5F" w:rsidRDefault="00003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727E4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727E4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318DD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318DD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727E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727E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318DD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318DD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727E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727E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727E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E5F" w:rsidRDefault="00003E5F">
      <w:r>
        <w:separator/>
      </w:r>
    </w:p>
  </w:footnote>
  <w:footnote w:type="continuationSeparator" w:id="0">
    <w:p w:rsidR="00003E5F" w:rsidRDefault="00003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727E4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3E5F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18DD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E34A1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27E4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5148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7E06DB-62EF-47B1-8E3C-B6D9A1124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B Carolina RESIDUS</dc:creator>
  <cp:lastModifiedBy>Sanchez B Carolina RESIDUS</cp:lastModifiedBy>
  <cp:revision>2</cp:revision>
  <cp:lastPrinted>2015-04-24T12:36:00Z</cp:lastPrinted>
  <dcterms:created xsi:type="dcterms:W3CDTF">2025-03-18T11:01:00Z</dcterms:created>
  <dcterms:modified xsi:type="dcterms:W3CDTF">2025-03-18T11:01:00Z</dcterms:modified>
</cp:coreProperties>
</file>