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3"/>
        <w:ind w:left="142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>ANNEX</w:t>
      </w:r>
      <w:r>
        <w:rPr>
          <w:rFonts w:ascii="Arial" w:hAnsi="Arial"/>
          <w:b/>
          <w:spacing w:val="1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4.</w:t>
      </w:r>
      <w:r>
        <w:rPr>
          <w:rFonts w:ascii="Arial" w:hAnsi="Arial"/>
          <w:b/>
          <w:spacing w:val="2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MODEL</w:t>
      </w:r>
      <w:r>
        <w:rPr>
          <w:rFonts w:ascii="Arial" w:hAnsi="Arial"/>
          <w:b/>
          <w:spacing w:val="-1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D’OFERTA</w:t>
      </w:r>
      <w:r>
        <w:rPr>
          <w:rFonts w:ascii="Arial" w:hAnsi="Arial"/>
          <w:b/>
          <w:spacing w:val="-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ECONÒMICA</w:t>
      </w:r>
      <w:r>
        <w:rPr>
          <w:rFonts w:ascii="Arial" w:hAnsi="Arial"/>
          <w:b/>
          <w:spacing w:val="-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PER</w:t>
      </w:r>
      <w:r>
        <w:rPr>
          <w:rFonts w:ascii="Arial" w:hAnsi="Arial"/>
          <w:b/>
          <w:spacing w:val="-15"/>
          <w:sz w:val="22"/>
          <w:u w:val="single"/>
        </w:rPr>
        <w:t> </w:t>
      </w:r>
      <w:r>
        <w:rPr>
          <w:rFonts w:ascii="Arial" w:hAnsi="Arial"/>
          <w:b/>
          <w:spacing w:val="-4"/>
          <w:sz w:val="22"/>
          <w:u w:val="single"/>
        </w:rPr>
        <w:t>LOTS</w:t>
      </w:r>
    </w:p>
    <w:p>
      <w:pPr>
        <w:pStyle w:val="BodyText"/>
        <w:tabs>
          <w:tab w:pos="1559" w:val="left" w:leader="none"/>
          <w:tab w:pos="2977" w:val="left" w:leader="none"/>
          <w:tab w:pos="5288" w:val="left" w:leader="dot"/>
        </w:tabs>
        <w:spacing w:before="252"/>
        <w:ind w:left="142" w:right="139"/>
        <w:jc w:val="both"/>
      </w:pPr>
      <w:r>
        <w:rPr>
          <w:spacing w:val="-2"/>
        </w:rPr>
        <w:t>En/na</w:t>
      </w:r>
      <w:r>
        <w:rPr/>
        <w:tab/>
        <w:t>,</w:t>
      </w:r>
      <w:r>
        <w:rPr>
          <w:spacing w:val="-1"/>
        </w:rPr>
        <w:t> </w:t>
      </w:r>
      <w:r>
        <w:rPr/>
        <w:t>amb</w:t>
      </w:r>
      <w:r>
        <w:rPr>
          <w:spacing w:val="-1"/>
        </w:rPr>
        <w:t> </w:t>
      </w:r>
      <w:r>
        <w:rPr/>
        <w:t>NIF</w:t>
      </w:r>
      <w:r>
        <w:rPr>
          <w:spacing w:val="80"/>
        </w:rPr>
        <w:t>   </w:t>
      </w:r>
      <w:r>
        <w:rPr/>
        <w:t>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/>
        <w:t>de</w:t>
      </w:r>
      <w:r>
        <w:rPr>
          <w:spacing w:val="80"/>
          <w:w w:val="150"/>
        </w:rPr>
        <w:t>        </w:t>
      </w:r>
      <w:r>
        <w:rPr/>
        <w:t>i</w:t>
      </w:r>
      <w:r>
        <w:rPr>
          <w:spacing w:val="34"/>
        </w:rPr>
        <w:t> </w:t>
      </w:r>
      <w:r>
        <w:rPr/>
        <w:t>en</w:t>
      </w:r>
      <w:r>
        <w:rPr>
          <w:spacing w:val="34"/>
        </w:rPr>
        <w:t> </w:t>
      </w:r>
      <w:r>
        <w:rPr/>
        <w:t>nom</w:t>
      </w:r>
      <w:r>
        <w:rPr>
          <w:spacing w:val="34"/>
        </w:rPr>
        <w:t> </w:t>
      </w:r>
      <w:r>
        <w:rPr/>
        <w:t>i</w:t>
      </w:r>
      <w:r>
        <w:rPr>
          <w:spacing w:val="34"/>
        </w:rPr>
        <w:t> </w:t>
      </w:r>
      <w:r>
        <w:rPr/>
        <w:t>representació</w:t>
      </w:r>
      <w:r>
        <w:rPr>
          <w:spacing w:val="34"/>
        </w:rPr>
        <w:t> </w:t>
      </w:r>
      <w:r>
        <w:rPr/>
        <w:t>de la societat</w:t>
        <w:tab/>
        <w:tab/>
        <w:t>, amb CIF</w:t>
        <w:tab/>
        <w:t>i domiciliada a</w:t>
      </w:r>
    </w:p>
    <w:p>
      <w:pPr>
        <w:pStyle w:val="BodyText"/>
        <w:tabs>
          <w:tab w:pos="7940" w:val="left" w:leader="none"/>
        </w:tabs>
        <w:ind w:left="142" w:right="139" w:firstLine="1418"/>
        <w:jc w:val="both"/>
      </w:pPr>
      <w:r>
        <w:rPr/>
        <w:t>, segons escriptura pública autoritzada davant Notari/a</w:t>
        <w:tab/>
        <w:t>, </w:t>
      </w:r>
      <w:r>
        <w:rPr/>
        <w:t>en data</w:t>
      </w:r>
      <w:r>
        <w:rPr>
          <w:spacing w:val="80"/>
        </w:rPr>
        <w:t>  </w:t>
      </w:r>
      <w:r>
        <w:rPr/>
        <w:t>i amb número de protocol</w:t>
      </w:r>
      <w:r>
        <w:rPr>
          <w:spacing w:val="80"/>
        </w:rPr>
        <w:t>  </w:t>
      </w:r>
      <w:r>
        <w:rPr/>
        <w:t>.</w:t>
      </w:r>
    </w:p>
    <w:p>
      <w:pPr>
        <w:tabs>
          <w:tab w:pos="5104" w:val="left" w:leader="none"/>
        </w:tabs>
        <w:spacing w:before="0"/>
        <w:ind w:left="142" w:right="139" w:firstLine="0"/>
        <w:jc w:val="both"/>
        <w:rPr>
          <w:sz w:val="22"/>
        </w:rPr>
      </w:pPr>
      <w:r>
        <w:rPr>
          <w:sz w:val="22"/>
        </w:rPr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2"/>
        </w:rPr>
        <w:t>“Manteniment de l'equipament de la sala de comandament de Policia Municipal de l'Ajuntament de Sabadell</w:t>
      </w:r>
      <w:r>
        <w:rPr>
          <w:sz w:val="22"/>
        </w:rPr>
        <w:t>” que es tramita mitjançant procediment obert simplificat. Dividit en els següents lots (marcar el lot pel qual es presenta):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334" w:lineRule="exact" w:before="0" w:after="0"/>
        <w:ind w:left="861" w:right="0" w:hanging="359"/>
        <w:jc w:val="left"/>
        <w:rPr>
          <w:b/>
          <w:sz w:val="22"/>
          <w:u w:val="none"/>
        </w:rPr>
      </w:pPr>
      <w:r>
        <w:rPr>
          <w:b/>
          <w:sz w:val="22"/>
          <w:u w:val="none"/>
        </w:rPr>
        <w:t>Lot</w:t>
      </w:r>
      <w:r>
        <w:rPr>
          <w:b/>
          <w:spacing w:val="-2"/>
          <w:sz w:val="22"/>
          <w:u w:val="none"/>
        </w:rPr>
        <w:t> </w:t>
      </w:r>
      <w:r>
        <w:rPr>
          <w:b/>
          <w:sz w:val="22"/>
          <w:u w:val="none"/>
        </w:rPr>
        <w:t>1.</w:t>
      </w:r>
      <w:r>
        <w:rPr>
          <w:b/>
          <w:spacing w:val="-2"/>
          <w:sz w:val="22"/>
          <w:u w:val="none"/>
        </w:rPr>
        <w:t> </w:t>
      </w:r>
      <w:r>
        <w:rPr>
          <w:b/>
          <w:sz w:val="22"/>
          <w:u w:val="none"/>
        </w:rPr>
        <w:t>Suport</w:t>
      </w:r>
      <w:r>
        <w:rPr>
          <w:b/>
          <w:spacing w:val="-1"/>
          <w:sz w:val="22"/>
          <w:u w:val="none"/>
        </w:rPr>
        <w:t> </w:t>
      </w:r>
      <w:r>
        <w:rPr>
          <w:b/>
          <w:sz w:val="22"/>
          <w:u w:val="none"/>
        </w:rPr>
        <w:t>pel</w:t>
      </w:r>
      <w:r>
        <w:rPr>
          <w:b/>
          <w:spacing w:val="-2"/>
          <w:sz w:val="22"/>
          <w:u w:val="none"/>
        </w:rPr>
        <w:t> </w:t>
      </w:r>
      <w:r>
        <w:rPr>
          <w:b/>
          <w:sz w:val="22"/>
          <w:u w:val="none"/>
        </w:rPr>
        <w:t>sistema</w:t>
      </w:r>
      <w:r>
        <w:rPr>
          <w:b/>
          <w:spacing w:val="-1"/>
          <w:sz w:val="22"/>
          <w:u w:val="none"/>
        </w:rPr>
        <w:t> </w:t>
      </w:r>
      <w:r>
        <w:rPr>
          <w:b/>
          <w:spacing w:val="-2"/>
          <w:sz w:val="22"/>
          <w:u w:val="none"/>
        </w:rPr>
        <w:t>Deskwall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334" w:lineRule="exact" w:before="0" w:after="0"/>
        <w:ind w:left="861" w:right="0" w:hanging="359"/>
        <w:jc w:val="left"/>
        <w:rPr>
          <w:b/>
          <w:sz w:val="22"/>
          <w:u w:val="none"/>
        </w:rPr>
      </w:pPr>
      <w:r>
        <w:rPr>
          <w:b/>
          <w:sz w:val="22"/>
          <w:u w:val="none"/>
        </w:rPr>
        <w:t>Lot</w:t>
      </w:r>
      <w:r>
        <w:rPr>
          <w:b/>
          <w:spacing w:val="-2"/>
          <w:sz w:val="22"/>
          <w:u w:val="none"/>
        </w:rPr>
        <w:t> </w:t>
      </w:r>
      <w:r>
        <w:rPr>
          <w:b/>
          <w:sz w:val="22"/>
          <w:u w:val="none"/>
        </w:rPr>
        <w:t>2.</w:t>
      </w:r>
      <w:r>
        <w:rPr>
          <w:b/>
          <w:spacing w:val="-3"/>
          <w:sz w:val="22"/>
          <w:u w:val="none"/>
        </w:rPr>
        <w:t> </w:t>
      </w:r>
      <w:r>
        <w:rPr>
          <w:b/>
          <w:sz w:val="22"/>
          <w:u w:val="none"/>
        </w:rPr>
        <w:t>Manteniment</w:t>
      </w:r>
      <w:r>
        <w:rPr>
          <w:b/>
          <w:spacing w:val="-2"/>
          <w:sz w:val="22"/>
          <w:u w:val="none"/>
        </w:rPr>
        <w:t> </w:t>
      </w:r>
      <w:r>
        <w:rPr>
          <w:b/>
          <w:sz w:val="22"/>
          <w:u w:val="none"/>
        </w:rPr>
        <w:t>Sistemes</w:t>
      </w:r>
      <w:r>
        <w:rPr>
          <w:b/>
          <w:spacing w:val="-1"/>
          <w:sz w:val="22"/>
          <w:u w:val="none"/>
        </w:rPr>
        <w:t> </w:t>
      </w:r>
      <w:r>
        <w:rPr>
          <w:b/>
          <w:spacing w:val="-2"/>
          <w:sz w:val="22"/>
          <w:u w:val="none"/>
        </w:rPr>
        <w:t>Audiovisuals</w:t>
      </w:r>
    </w:p>
    <w:p>
      <w:pPr>
        <w:pStyle w:val="BodyText"/>
        <w:spacing w:before="241"/>
        <w:ind w:left="142" w:right="137"/>
        <w:jc w:val="both"/>
      </w:pPr>
      <w:r>
        <w:rPr/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>
      <w:pPr>
        <w:pStyle w:val="BodyText"/>
      </w:pPr>
    </w:p>
    <w:p>
      <w:pPr>
        <w:pStyle w:val="BodyText"/>
        <w:ind w:left="142" w:right="136"/>
        <w:jc w:val="both"/>
      </w:pPr>
      <w:r>
        <w:rPr/>
        <w:t>En relació als criteris d’adjudicació avaluables mitjançant l’aplicació de fórmules que preveu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Plec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clàusules</w:t>
      </w:r>
      <w:r>
        <w:rPr>
          <w:spacing w:val="-14"/>
        </w:rPr>
        <w:t> </w:t>
      </w:r>
      <w:r>
        <w:rPr/>
        <w:t>administratives</w:t>
      </w:r>
      <w:r>
        <w:rPr>
          <w:spacing w:val="-14"/>
        </w:rPr>
        <w:t> </w:t>
      </w:r>
      <w:r>
        <w:rPr/>
        <w:t>particulars</w:t>
      </w:r>
      <w:r>
        <w:rPr>
          <w:spacing w:val="-14"/>
        </w:rPr>
        <w:t> </w:t>
      </w:r>
      <w:r>
        <w:rPr/>
        <w:t>fa</w:t>
      </w:r>
      <w:r>
        <w:rPr>
          <w:spacing w:val="-14"/>
        </w:rPr>
        <w:t> </w:t>
      </w:r>
      <w:r>
        <w:rPr/>
        <w:t>constar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l’oferta</w:t>
      </w:r>
      <w:r>
        <w:rPr>
          <w:spacing w:val="-14"/>
        </w:rPr>
        <w:t> </w:t>
      </w:r>
      <w:r>
        <w:rPr/>
        <w:t>presentada es desglossa conforme el següent: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861" w:val="left" w:leader="none"/>
        </w:tabs>
        <w:spacing w:line="240" w:lineRule="auto" w:before="0" w:after="0"/>
        <w:ind w:left="861" w:right="0" w:hanging="359"/>
        <w:jc w:val="left"/>
        <w:rPr>
          <w:b/>
          <w:sz w:val="22"/>
          <w:u w:val="none"/>
        </w:rPr>
      </w:pPr>
      <w:r>
        <w:rPr>
          <w:b/>
          <w:sz w:val="22"/>
          <w:u w:val="single"/>
        </w:rPr>
        <w:t>Lot</w:t>
      </w:r>
      <w:r>
        <w:rPr>
          <w:b/>
          <w:spacing w:val="-12"/>
          <w:sz w:val="22"/>
          <w:u w:val="single"/>
        </w:rPr>
        <w:t> </w:t>
      </w:r>
      <w:r>
        <w:rPr>
          <w:b/>
          <w:sz w:val="22"/>
          <w:u w:val="single"/>
        </w:rPr>
        <w:t>1.</w:t>
      </w:r>
      <w:r>
        <w:rPr>
          <w:b/>
          <w:spacing w:val="-12"/>
          <w:sz w:val="22"/>
          <w:u w:val="single"/>
        </w:rPr>
        <w:t> </w:t>
      </w:r>
      <w:r>
        <w:rPr>
          <w:b/>
          <w:sz w:val="22"/>
          <w:u w:val="single"/>
        </w:rPr>
        <w:t>Suport</w:t>
      </w:r>
      <w:r>
        <w:rPr>
          <w:b/>
          <w:spacing w:val="-12"/>
          <w:sz w:val="22"/>
          <w:u w:val="single"/>
        </w:rPr>
        <w:t> </w:t>
      </w:r>
      <w:r>
        <w:rPr>
          <w:b/>
          <w:sz w:val="22"/>
          <w:u w:val="single"/>
        </w:rPr>
        <w:t>pel</w:t>
      </w:r>
      <w:r>
        <w:rPr>
          <w:b/>
          <w:spacing w:val="-13"/>
          <w:sz w:val="22"/>
          <w:u w:val="single"/>
        </w:rPr>
        <w:t> </w:t>
      </w:r>
      <w:r>
        <w:rPr>
          <w:b/>
          <w:sz w:val="22"/>
          <w:u w:val="single"/>
        </w:rPr>
        <w:t>Sistema</w:t>
      </w:r>
      <w:r>
        <w:rPr>
          <w:b/>
          <w:spacing w:val="-12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Deskwall: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42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pacing w:val="-2"/>
          <w:sz w:val="22"/>
          <w:u w:val="single"/>
        </w:rPr>
        <w:t>Criteri</w:t>
      </w:r>
      <w:r>
        <w:rPr>
          <w:rFonts w:ascii="Arial" w:hAnsi="Arial"/>
          <w:b/>
          <w:spacing w:val="-8"/>
          <w:sz w:val="22"/>
          <w:u w:val="single"/>
        </w:rPr>
        <w:t> </w:t>
      </w:r>
      <w:r>
        <w:rPr>
          <w:rFonts w:ascii="Arial" w:hAnsi="Arial"/>
          <w:b/>
          <w:spacing w:val="-2"/>
          <w:sz w:val="22"/>
          <w:u w:val="single"/>
        </w:rPr>
        <w:t>d’adjudicació:</w:t>
      </w:r>
      <w:r>
        <w:rPr>
          <w:rFonts w:ascii="Arial" w:hAnsi="Arial"/>
          <w:b/>
          <w:spacing w:val="-6"/>
          <w:sz w:val="22"/>
          <w:u w:val="single"/>
        </w:rPr>
        <w:t> </w:t>
      </w:r>
      <w:r>
        <w:rPr>
          <w:rFonts w:ascii="Arial" w:hAnsi="Arial"/>
          <w:b/>
          <w:spacing w:val="-2"/>
          <w:sz w:val="22"/>
          <w:u w:val="single"/>
        </w:rPr>
        <w:t>Baixa</w:t>
      </w:r>
      <w:r>
        <w:rPr>
          <w:rFonts w:ascii="Arial" w:hAnsi="Arial"/>
          <w:b/>
          <w:spacing w:val="-7"/>
          <w:sz w:val="22"/>
          <w:u w:val="single"/>
        </w:rPr>
        <w:t> </w:t>
      </w:r>
      <w:r>
        <w:rPr>
          <w:rFonts w:ascii="Arial" w:hAnsi="Arial"/>
          <w:b/>
          <w:spacing w:val="-2"/>
          <w:sz w:val="22"/>
          <w:u w:val="single"/>
        </w:rPr>
        <w:t>econòmica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42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>Percentatge</w:t>
      </w:r>
      <w:r>
        <w:rPr>
          <w:rFonts w:ascii="Arial" w:hAnsi="Arial"/>
          <w:b/>
          <w:spacing w:val="7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7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baixa</w:t>
      </w:r>
      <w:r>
        <w:rPr>
          <w:rFonts w:ascii="Arial" w:hAnsi="Arial"/>
          <w:b/>
          <w:spacing w:val="7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respecte</w:t>
      </w:r>
      <w:r>
        <w:rPr>
          <w:rFonts w:ascii="Arial" w:hAnsi="Arial"/>
          <w:b/>
          <w:spacing w:val="7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al</w:t>
      </w:r>
      <w:r>
        <w:rPr>
          <w:rFonts w:ascii="Arial" w:hAnsi="Arial"/>
          <w:b/>
          <w:spacing w:val="7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pressupost</w:t>
      </w:r>
      <w:r>
        <w:rPr>
          <w:rFonts w:ascii="Arial" w:hAnsi="Arial"/>
          <w:b/>
          <w:spacing w:val="7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base</w:t>
      </w:r>
      <w:r>
        <w:rPr>
          <w:rFonts w:ascii="Arial" w:hAnsi="Arial"/>
          <w:b/>
          <w:spacing w:val="7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7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licitació</w:t>
      </w:r>
      <w:r>
        <w:rPr>
          <w:rFonts w:ascii="Arial" w:hAnsi="Arial"/>
          <w:b/>
          <w:spacing w:val="7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(IVA</w:t>
      </w:r>
      <w:r>
        <w:rPr>
          <w:rFonts w:ascii="Arial" w:hAnsi="Arial"/>
          <w:b/>
          <w:spacing w:val="7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inclòs)</w:t>
      </w:r>
      <w:r>
        <w:rPr>
          <w:rFonts w:ascii="Arial" w:hAnsi="Arial"/>
          <w:b/>
          <w:sz w:val="22"/>
        </w:rPr>
        <w:t> </w:t>
      </w:r>
      <w:r>
        <w:rPr>
          <w:rFonts w:ascii="Arial" w:hAnsi="Arial"/>
          <w:b/>
          <w:sz w:val="22"/>
          <w:u w:val="single"/>
        </w:rPr>
        <w:t>corresponent al lot 1. ( fins a 100 punts)</w:t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142"/>
      </w:pPr>
      <w:r>
        <w:rPr/>
        <w:t>El</w:t>
      </w:r>
      <w:r>
        <w:rPr>
          <w:spacing w:val="-7"/>
        </w:rPr>
        <w:t> </w:t>
      </w:r>
      <w:r>
        <w:rPr/>
        <w:t>pressupost</w:t>
      </w:r>
      <w:r>
        <w:rPr>
          <w:spacing w:val="-7"/>
        </w:rPr>
        <w:t> </w:t>
      </w:r>
      <w:r>
        <w:rPr/>
        <w:t>base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licitació</w:t>
      </w:r>
      <w:r>
        <w:rPr>
          <w:spacing w:val="-7"/>
        </w:rPr>
        <w:t> </w:t>
      </w:r>
      <w:r>
        <w:rPr/>
        <w:t>corresponent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lot</w:t>
      </w:r>
      <w:r>
        <w:rPr>
          <w:spacing w:val="-7"/>
        </w:rPr>
        <w:t> </w:t>
      </w:r>
      <w:r>
        <w:rPr/>
        <w:t>1</w:t>
      </w:r>
      <w:r>
        <w:rPr>
          <w:spacing w:val="-7"/>
        </w:rPr>
        <w:t> </w:t>
      </w:r>
      <w:r>
        <w:rPr/>
        <w:t>és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següent:</w:t>
      </w:r>
      <w:r>
        <w:rPr>
          <w:spacing w:val="-7"/>
        </w:rPr>
        <w:t> </w:t>
      </w:r>
      <w:r>
        <w:rPr/>
        <w:t>34.840,74</w:t>
      </w:r>
      <w:r>
        <w:rPr>
          <w:spacing w:val="-7"/>
        </w:rPr>
        <w:t> </w:t>
      </w:r>
      <w:r>
        <w:rPr/>
        <w:t>euros.</w:t>
      </w:r>
      <w:r>
        <w:rPr>
          <w:spacing w:val="-7"/>
        </w:rPr>
        <w:t> </w:t>
      </w:r>
      <w:r>
        <w:rPr/>
        <w:t>Per </w:t>
      </w:r>
      <w:r>
        <w:rPr>
          <w:spacing w:val="-2"/>
        </w:rPr>
        <w:t>tant:</w:t>
      </w:r>
    </w:p>
    <w:p>
      <w:pPr>
        <w:pStyle w:val="BodyText"/>
        <w:spacing w:before="13"/>
      </w:pPr>
    </w:p>
    <w:p>
      <w:pPr>
        <w:pStyle w:val="BodyText"/>
        <w:spacing w:line="225" w:lineRule="auto"/>
        <w:ind w:left="142"/>
        <w:rPr>
          <w:rFonts w:ascii="Microsoft JhengHei Light" w:hAnsi="Microsoft JhengHei Light"/>
        </w:rPr>
      </w:pPr>
      <w:r>
        <w:rPr/>
        <w:t>Ofereix,</w:t>
      </w:r>
      <w:r>
        <w:rPr>
          <w:spacing w:val="40"/>
        </w:rPr>
        <w:t> </w:t>
      </w:r>
      <w:r>
        <w:rPr/>
        <w:t>com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millora</w:t>
      </w:r>
      <w:r>
        <w:rPr>
          <w:spacing w:val="40"/>
        </w:rPr>
        <w:t> </w:t>
      </w:r>
      <w:r>
        <w:rPr/>
        <w:t>econòmica</w:t>
      </w:r>
      <w:r>
        <w:rPr>
          <w:spacing w:val="40"/>
        </w:rPr>
        <w:t> </w:t>
      </w:r>
      <w:r>
        <w:rPr/>
        <w:t>el</w:t>
      </w:r>
      <w:r>
        <w:rPr>
          <w:spacing w:val="40"/>
        </w:rPr>
        <w:t> </w:t>
      </w:r>
      <w:r>
        <w:rPr/>
        <w:t>següent</w:t>
      </w:r>
      <w:r>
        <w:rPr>
          <w:spacing w:val="40"/>
        </w:rPr>
        <w:t> </w:t>
      </w:r>
      <w:r>
        <w:rPr/>
        <w:t>percentatge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baixa</w:t>
      </w:r>
      <w:r>
        <w:rPr>
          <w:spacing w:val="40"/>
        </w:rPr>
        <w:t> </w:t>
      </w:r>
      <w:r>
        <w:rPr/>
        <w:t>glo</w:t>
      </w:r>
      <w:r>
        <w:rPr>
          <w:rFonts w:ascii="Microsoft JhengHei Light" w:hAnsi="Microsoft JhengHei Light"/>
        </w:rPr>
        <w:t>bal</w:t>
      </w:r>
      <w:r>
        <w:rPr>
          <w:rFonts w:ascii="Microsoft JhengHei Light" w:hAnsi="Microsoft JhengHei Light"/>
          <w:spacing w:val="40"/>
        </w:rPr>
        <w:t> </w:t>
      </w:r>
      <w:r>
        <w:rPr>
          <w:rFonts w:ascii="Microsoft JhengHei Light" w:hAnsi="Microsoft JhengHei Light"/>
        </w:rPr>
        <w:t>sobre</w:t>
      </w:r>
      <w:r>
        <w:rPr>
          <w:rFonts w:ascii="Microsoft JhengHei Light" w:hAnsi="Microsoft JhengHei Light"/>
          <w:spacing w:val="40"/>
        </w:rPr>
        <w:t> </w:t>
      </w:r>
      <w:r>
        <w:rPr>
          <w:rFonts w:ascii="Microsoft JhengHei Light" w:hAnsi="Microsoft JhengHei Light"/>
        </w:rPr>
        <w:t>el pressupost base de licitaci</w:t>
      </w:r>
      <w:r>
        <w:rPr>
          <w:rFonts w:ascii="Times New Roman" w:hAnsi="Times New Roman"/>
        </w:rPr>
        <w:t>ó </w:t>
      </w:r>
      <w:r>
        <w:rPr>
          <w:rFonts w:ascii="Microsoft JhengHei Light" w:hAnsi="Microsoft JhengHei Light"/>
        </w:rPr>
        <w:t>(IVA incl</w:t>
      </w:r>
      <w:r>
        <w:rPr>
          <w:rFonts w:ascii="Times New Roman" w:hAnsi="Times New Roman"/>
        </w:rPr>
        <w:t>ò</w:t>
      </w:r>
      <w:r>
        <w:rPr>
          <w:rFonts w:ascii="Microsoft JhengHei Light" w:hAnsi="Microsoft JhengHei Light"/>
        </w:rPr>
        <w:t>s) corresponent al lot 1.</w:t>
      </w:r>
    </w:p>
    <w:p>
      <w:pPr>
        <w:spacing w:before="368"/>
        <w:ind w:left="142" w:right="0" w:firstLine="0"/>
        <w:jc w:val="left"/>
        <w:rPr>
          <w:sz w:val="20"/>
        </w:rPr>
      </w:pPr>
      <w:r>
        <w:rPr>
          <w:sz w:val="20"/>
        </w:rPr>
        <w:t>Emplenar</w:t>
      </w:r>
      <w:r>
        <w:rPr>
          <w:spacing w:val="-5"/>
          <w:sz w:val="20"/>
        </w:rPr>
        <w:t> </w:t>
      </w:r>
      <w:r>
        <w:rPr>
          <w:sz w:val="20"/>
        </w:rPr>
        <w:t>només</w:t>
      </w:r>
      <w:r>
        <w:rPr>
          <w:spacing w:val="-3"/>
          <w:sz w:val="20"/>
        </w:rPr>
        <w:t> </w:t>
      </w:r>
      <w:r>
        <w:rPr>
          <w:sz w:val="20"/>
        </w:rPr>
        <w:t>cel·les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ombrejades.</w:t>
      </w:r>
    </w:p>
    <w:tbl>
      <w:tblPr>
        <w:tblW w:w="0" w:type="auto"/>
        <w:jc w:val="left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94"/>
        <w:gridCol w:w="2153"/>
        <w:gridCol w:w="2212"/>
        <w:gridCol w:w="2162"/>
      </w:tblGrid>
      <w:tr>
        <w:trPr>
          <w:trHeight w:val="760" w:hRule="atLeast"/>
        </w:trPr>
        <w:tc>
          <w:tcPr>
            <w:tcW w:w="2194" w:type="dxa"/>
          </w:tcPr>
          <w:p>
            <w:pPr>
              <w:pStyle w:val="TableParagraph"/>
              <w:spacing w:line="388" w:lineRule="exact"/>
              <w:ind w:left="108"/>
              <w:rPr>
                <w:rFonts w:ascii="Microsoft JhengHei"/>
                <w:b/>
                <w:sz w:val="22"/>
              </w:rPr>
            </w:pPr>
            <w:r>
              <w:rPr>
                <w:rFonts w:ascii="Microsoft JhengHei"/>
                <w:b/>
                <w:w w:val="90"/>
                <w:sz w:val="22"/>
              </w:rPr>
              <w:t>Pressupost</w:t>
            </w:r>
            <w:r>
              <w:rPr>
                <w:rFonts w:ascii="Microsoft JhengHei"/>
                <w:b/>
                <w:spacing w:val="18"/>
                <w:sz w:val="22"/>
              </w:rPr>
              <w:t> </w:t>
            </w:r>
            <w:r>
              <w:rPr>
                <w:rFonts w:ascii="Microsoft JhengHei"/>
                <w:b/>
                <w:w w:val="90"/>
                <w:sz w:val="22"/>
              </w:rPr>
              <w:t>Base</w:t>
            </w:r>
            <w:r>
              <w:rPr>
                <w:rFonts w:ascii="Microsoft JhengHei"/>
                <w:b/>
                <w:spacing w:val="18"/>
                <w:sz w:val="22"/>
              </w:rPr>
              <w:t> </w:t>
            </w:r>
            <w:r>
              <w:rPr>
                <w:rFonts w:ascii="Microsoft JhengHei"/>
                <w:b/>
                <w:spacing w:val="-5"/>
                <w:w w:val="90"/>
                <w:sz w:val="22"/>
              </w:rPr>
              <w:t>de</w:t>
            </w:r>
          </w:p>
          <w:p>
            <w:pPr>
              <w:pStyle w:val="TableParagraph"/>
              <w:spacing w:line="353" w:lineRule="exact"/>
              <w:ind w:left="108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Microsoft JhengHei" w:hAnsi="Microsoft JhengHei"/>
                <w:b/>
                <w:spacing w:val="-2"/>
                <w:sz w:val="22"/>
              </w:rPr>
              <w:t>licitaci</w:t>
            </w:r>
            <w:r>
              <w:rPr>
                <w:rFonts w:ascii="Times New Roman" w:hAnsi="Times New Roman"/>
                <w:b/>
                <w:spacing w:val="-2"/>
                <w:sz w:val="22"/>
              </w:rPr>
              <w:t>ó</w:t>
            </w:r>
          </w:p>
        </w:tc>
        <w:tc>
          <w:tcPr>
            <w:tcW w:w="2153" w:type="dxa"/>
          </w:tcPr>
          <w:p>
            <w:pPr>
              <w:pStyle w:val="TableParagraph"/>
              <w:spacing w:line="400" w:lineRule="exact"/>
              <w:ind w:left="107"/>
              <w:rPr>
                <w:rFonts w:ascii="Microsoft JhengHei"/>
                <w:b/>
                <w:sz w:val="22"/>
              </w:rPr>
            </w:pPr>
            <w:r>
              <w:rPr>
                <w:rFonts w:ascii="Microsoft JhengHei"/>
                <w:b/>
                <w:spacing w:val="-4"/>
                <w:sz w:val="22"/>
              </w:rPr>
              <w:t>%</w:t>
            </w:r>
            <w:r>
              <w:rPr>
                <w:rFonts w:ascii="Microsoft JhengHei"/>
                <w:b/>
                <w:spacing w:val="-8"/>
                <w:sz w:val="22"/>
              </w:rPr>
              <w:t> </w:t>
            </w:r>
            <w:r>
              <w:rPr>
                <w:rFonts w:ascii="Microsoft JhengHei"/>
                <w:b/>
                <w:spacing w:val="-4"/>
                <w:sz w:val="22"/>
              </w:rPr>
              <w:t>de</w:t>
            </w:r>
            <w:r>
              <w:rPr>
                <w:rFonts w:ascii="Microsoft JhengHei"/>
                <w:b/>
                <w:spacing w:val="-8"/>
                <w:sz w:val="22"/>
              </w:rPr>
              <w:t> </w:t>
            </w:r>
            <w:r>
              <w:rPr>
                <w:rFonts w:ascii="Microsoft JhengHei"/>
                <w:b/>
                <w:spacing w:val="-4"/>
                <w:sz w:val="22"/>
              </w:rPr>
              <w:t>Baixa</w:t>
            </w:r>
            <w:r>
              <w:rPr>
                <w:rFonts w:ascii="Microsoft JhengHei"/>
                <w:b/>
                <w:spacing w:val="-7"/>
                <w:sz w:val="22"/>
              </w:rPr>
              <w:t> </w:t>
            </w:r>
            <w:r>
              <w:rPr>
                <w:rFonts w:ascii="Microsoft JhengHei"/>
                <w:b/>
                <w:spacing w:val="-4"/>
                <w:sz w:val="22"/>
              </w:rPr>
              <w:t>ofert</w:t>
            </w:r>
          </w:p>
        </w:tc>
        <w:tc>
          <w:tcPr>
            <w:tcW w:w="2212" w:type="dxa"/>
          </w:tcPr>
          <w:p>
            <w:pPr>
              <w:pStyle w:val="TableParagraph"/>
              <w:spacing w:line="388" w:lineRule="exact"/>
              <w:ind w:left="108"/>
              <w:rPr>
                <w:rFonts w:ascii="Microsoft JhengHei"/>
                <w:b/>
                <w:sz w:val="22"/>
              </w:rPr>
            </w:pPr>
            <w:r>
              <w:rPr>
                <w:rFonts w:ascii="Microsoft JhengHei"/>
                <w:b/>
                <w:spacing w:val="-6"/>
                <w:sz w:val="22"/>
              </w:rPr>
              <w:t>Import de</w:t>
            </w:r>
            <w:r>
              <w:rPr>
                <w:rFonts w:ascii="Microsoft JhengHei"/>
                <w:b/>
                <w:spacing w:val="-5"/>
                <w:sz w:val="22"/>
              </w:rPr>
              <w:t> </w:t>
            </w:r>
            <w:r>
              <w:rPr>
                <w:rFonts w:ascii="Microsoft JhengHei"/>
                <w:b/>
                <w:spacing w:val="-6"/>
                <w:sz w:val="22"/>
              </w:rPr>
              <w:t>la baixa</w:t>
            </w:r>
          </w:p>
          <w:p>
            <w:pPr>
              <w:pStyle w:val="TableParagraph"/>
              <w:spacing w:line="353" w:lineRule="exact"/>
              <w:ind w:left="108"/>
              <w:rPr>
                <w:rFonts w:ascii="Microsoft JhengHei"/>
                <w:b/>
                <w:sz w:val="22"/>
              </w:rPr>
            </w:pPr>
            <w:r>
              <w:rPr>
                <w:rFonts w:ascii="Microsoft JhengHei"/>
                <w:b/>
                <w:spacing w:val="-2"/>
                <w:sz w:val="22"/>
              </w:rPr>
              <w:t>corresponent</w:t>
            </w:r>
          </w:p>
        </w:tc>
        <w:tc>
          <w:tcPr>
            <w:tcW w:w="2162" w:type="dxa"/>
          </w:tcPr>
          <w:p>
            <w:pPr>
              <w:pStyle w:val="TableParagraph"/>
              <w:spacing w:line="400" w:lineRule="exact"/>
              <w:ind w:left="108"/>
              <w:rPr>
                <w:rFonts w:ascii="Microsoft JhengHei" w:hAnsi="Microsoft JhengHei"/>
                <w:b/>
                <w:sz w:val="22"/>
              </w:rPr>
            </w:pPr>
            <w:r>
              <w:rPr>
                <w:rFonts w:ascii="Microsoft JhengHei" w:hAnsi="Microsoft JhengHei"/>
                <w:b/>
                <w:spacing w:val="-6"/>
                <w:sz w:val="22"/>
              </w:rPr>
              <w:t>Oferta IVA incl</w:t>
            </w:r>
            <w:r>
              <w:rPr>
                <w:rFonts w:ascii="Times New Roman" w:hAnsi="Times New Roman"/>
                <w:b/>
                <w:spacing w:val="-6"/>
                <w:sz w:val="22"/>
              </w:rPr>
              <w:t>ò</w:t>
            </w:r>
            <w:r>
              <w:rPr>
                <w:rFonts w:ascii="Microsoft JhengHei" w:hAnsi="Microsoft JhengHei"/>
                <w:b/>
                <w:spacing w:val="-6"/>
                <w:sz w:val="22"/>
              </w:rPr>
              <w:t>s</w:t>
            </w:r>
          </w:p>
        </w:tc>
      </w:tr>
      <w:tr>
        <w:trPr>
          <w:trHeight w:val="380" w:hRule="atLeast"/>
        </w:trPr>
        <w:tc>
          <w:tcPr>
            <w:tcW w:w="2194" w:type="dxa"/>
          </w:tcPr>
          <w:p>
            <w:pPr>
              <w:pStyle w:val="TableParagraph"/>
              <w:spacing w:line="360" w:lineRule="exact"/>
              <w:ind w:left="108"/>
              <w:rPr>
                <w:rFonts w:ascii="Times New Roman" w:hAnsi="Times New Roman"/>
                <w:sz w:val="22"/>
              </w:rPr>
            </w:pPr>
            <w:r>
              <w:rPr>
                <w:rFonts w:ascii="Microsoft JhengHei Light" w:hAnsi="Microsoft JhengHei Light"/>
                <w:spacing w:val="-2"/>
                <w:sz w:val="22"/>
              </w:rPr>
              <w:t>34.840,74</w:t>
            </w:r>
            <w:r>
              <w:rPr>
                <w:rFonts w:ascii="Times New Roman" w:hAnsi="Times New Roman"/>
                <w:spacing w:val="-2"/>
                <w:sz w:val="22"/>
              </w:rPr>
              <w:t>€</w:t>
            </w:r>
          </w:p>
        </w:tc>
        <w:tc>
          <w:tcPr>
            <w:tcW w:w="2153" w:type="dxa"/>
            <w:shd w:val="clear" w:color="auto" w:fill="BFBFBF"/>
          </w:tcPr>
          <w:p>
            <w:pPr>
              <w:pStyle w:val="TableParagraph"/>
              <w:spacing w:line="360" w:lineRule="exact"/>
              <w:ind w:right="97"/>
              <w:jc w:val="right"/>
              <w:rPr>
                <w:rFonts w:ascii="Microsoft JhengHei Light"/>
                <w:sz w:val="22"/>
              </w:rPr>
            </w:pPr>
            <w:r>
              <w:rPr>
                <w:rFonts w:ascii="Microsoft JhengHei Light"/>
                <w:spacing w:val="-10"/>
                <w:sz w:val="22"/>
              </w:rPr>
              <w:t>%</w:t>
            </w:r>
          </w:p>
        </w:tc>
        <w:tc>
          <w:tcPr>
            <w:tcW w:w="2212" w:type="dxa"/>
            <w:shd w:val="clear" w:color="auto" w:fill="BFBFBF"/>
          </w:tcPr>
          <w:p>
            <w:pPr>
              <w:pStyle w:val="TableParagraph"/>
              <w:ind w:right="97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pacing w:val="-10"/>
                <w:sz w:val="22"/>
              </w:rPr>
              <w:t>€</w:t>
            </w:r>
          </w:p>
        </w:tc>
        <w:tc>
          <w:tcPr>
            <w:tcW w:w="2162" w:type="dxa"/>
            <w:shd w:val="clear" w:color="auto" w:fill="BFBFBF"/>
          </w:tcPr>
          <w:p>
            <w:pPr>
              <w:pStyle w:val="TableParagraph"/>
              <w:ind w:right="97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pacing w:val="-10"/>
                <w:sz w:val="22"/>
              </w:rPr>
              <w:t>€</w:t>
            </w:r>
          </w:p>
        </w:tc>
      </w:tr>
    </w:tbl>
    <w:p>
      <w:pPr>
        <w:spacing w:line="340" w:lineRule="auto" w:before="58"/>
        <w:ind w:left="142" w:right="0" w:firstLine="0"/>
        <w:jc w:val="left"/>
        <w:rPr>
          <w:rFonts w:ascii="Arial" w:hAnsi="Arial"/>
          <w:i/>
          <w:sz w:val="19"/>
        </w:rPr>
      </w:pPr>
      <w:r>
        <w:rPr>
          <w:rFonts w:ascii="Arial" w:hAnsi="Arial"/>
          <w:i/>
          <w:color w:val="808080"/>
          <w:spacing w:val="-2"/>
          <w:sz w:val="19"/>
        </w:rPr>
        <w:t>*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En</w:t>
      </w:r>
      <w:r>
        <w:rPr>
          <w:rFonts w:ascii="Arial" w:hAnsi="Arial"/>
          <w:i/>
          <w:color w:val="808080"/>
          <w:spacing w:val="-10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els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casos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que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no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es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vulgui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fer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baixa,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caldr</w:t>
      </w:r>
      <w:r>
        <w:rPr>
          <w:rFonts w:ascii="Times New Roman" w:hAnsi="Times New Roman"/>
          <w:i/>
          <w:color w:val="808080"/>
          <w:spacing w:val="-2"/>
          <w:sz w:val="18"/>
        </w:rPr>
        <w:t>à</w:t>
      </w:r>
      <w:r>
        <w:rPr>
          <w:rFonts w:ascii="Times New Roman" w:hAnsi="Times New Roman"/>
          <w:i/>
          <w:color w:val="808080"/>
          <w:spacing w:val="-3"/>
          <w:sz w:val="18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posar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l</w:t>
      </w:r>
      <w:r>
        <w:rPr>
          <w:rFonts w:ascii="Times New Roman" w:hAnsi="Times New Roman"/>
          <w:i/>
          <w:color w:val="808080"/>
          <w:spacing w:val="-2"/>
          <w:sz w:val="18"/>
        </w:rPr>
        <w:t>’</w:t>
      </w:r>
      <w:r>
        <w:rPr>
          <w:rFonts w:ascii="Arial" w:hAnsi="Arial"/>
          <w:i/>
          <w:color w:val="808080"/>
          <w:spacing w:val="-2"/>
          <w:sz w:val="19"/>
        </w:rPr>
        <w:t>import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del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pressupost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base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de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licitaci</w:t>
      </w:r>
      <w:r>
        <w:rPr>
          <w:rFonts w:ascii="Times New Roman" w:hAnsi="Times New Roman"/>
          <w:i/>
          <w:color w:val="808080"/>
          <w:spacing w:val="-2"/>
          <w:sz w:val="18"/>
        </w:rPr>
        <w:t>ó</w:t>
      </w:r>
      <w:r>
        <w:rPr>
          <w:rFonts w:ascii="Arial" w:hAnsi="Arial"/>
          <w:i/>
          <w:color w:val="808080"/>
          <w:spacing w:val="-2"/>
          <w:sz w:val="19"/>
        </w:rPr>
        <w:t>.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No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es</w:t>
      </w:r>
      <w:r>
        <w:rPr>
          <w:rFonts w:ascii="Arial" w:hAnsi="Arial"/>
          <w:i/>
          <w:color w:val="808080"/>
          <w:spacing w:val="-11"/>
          <w:sz w:val="19"/>
        </w:rPr>
        <w:t> </w:t>
      </w:r>
      <w:r>
        <w:rPr>
          <w:rFonts w:ascii="Arial" w:hAnsi="Arial"/>
          <w:i/>
          <w:color w:val="808080"/>
          <w:spacing w:val="-2"/>
          <w:sz w:val="19"/>
        </w:rPr>
        <w:t>pot </w:t>
      </w:r>
      <w:r>
        <w:rPr>
          <w:rFonts w:ascii="Arial" w:hAnsi="Arial"/>
          <w:i/>
          <w:color w:val="808080"/>
          <w:sz w:val="19"/>
        </w:rPr>
        <w:t>posar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zero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ni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deixar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en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blanc.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En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aquest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cas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s</w:t>
      </w:r>
      <w:r>
        <w:rPr>
          <w:rFonts w:ascii="Times New Roman" w:hAnsi="Times New Roman"/>
          <w:i/>
          <w:color w:val="808080"/>
          <w:sz w:val="18"/>
        </w:rPr>
        <w:t>’</w:t>
      </w:r>
      <w:r>
        <w:rPr>
          <w:rFonts w:ascii="Arial" w:hAnsi="Arial"/>
          <w:i/>
          <w:color w:val="808080"/>
          <w:sz w:val="19"/>
        </w:rPr>
        <w:t>entendr</w:t>
      </w:r>
      <w:r>
        <w:rPr>
          <w:rFonts w:ascii="Times New Roman" w:hAnsi="Times New Roman"/>
          <w:i/>
          <w:color w:val="808080"/>
          <w:sz w:val="18"/>
        </w:rPr>
        <w:t>à</w:t>
      </w:r>
      <w:r>
        <w:rPr>
          <w:rFonts w:ascii="Times New Roman" w:hAnsi="Times New Roman"/>
          <w:i/>
          <w:color w:val="808080"/>
          <w:spacing w:val="37"/>
          <w:sz w:val="18"/>
        </w:rPr>
        <w:t> </w:t>
      </w:r>
      <w:r>
        <w:rPr>
          <w:rFonts w:ascii="Arial" w:hAnsi="Arial"/>
          <w:i/>
          <w:color w:val="808080"/>
          <w:sz w:val="19"/>
        </w:rPr>
        <w:t>que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l</w:t>
      </w:r>
      <w:r>
        <w:rPr>
          <w:rFonts w:ascii="Times New Roman" w:hAnsi="Times New Roman"/>
          <w:i/>
          <w:color w:val="808080"/>
          <w:sz w:val="18"/>
        </w:rPr>
        <w:t>’</w:t>
      </w:r>
      <w:r>
        <w:rPr>
          <w:rFonts w:ascii="Arial" w:hAnsi="Arial"/>
          <w:i/>
          <w:color w:val="808080"/>
          <w:sz w:val="19"/>
        </w:rPr>
        <w:t>empresa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no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vol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oferir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baixa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econ</w:t>
      </w:r>
      <w:r>
        <w:rPr>
          <w:rFonts w:ascii="Times New Roman" w:hAnsi="Times New Roman"/>
          <w:i/>
          <w:color w:val="808080"/>
          <w:sz w:val="18"/>
        </w:rPr>
        <w:t>ò</w:t>
      </w:r>
      <w:r>
        <w:rPr>
          <w:rFonts w:ascii="Arial" w:hAnsi="Arial"/>
          <w:i/>
          <w:color w:val="808080"/>
          <w:sz w:val="19"/>
        </w:rPr>
        <w:t>mica</w:t>
      </w:r>
      <w:r>
        <w:rPr>
          <w:rFonts w:ascii="Arial" w:hAnsi="Arial"/>
          <w:i/>
          <w:color w:val="808080"/>
          <w:spacing w:val="-12"/>
          <w:sz w:val="19"/>
        </w:rPr>
        <w:t> </w:t>
      </w:r>
      <w:r>
        <w:rPr>
          <w:rFonts w:ascii="Arial" w:hAnsi="Arial"/>
          <w:i/>
          <w:color w:val="808080"/>
          <w:sz w:val="19"/>
        </w:rPr>
        <w:t>i s</w:t>
      </w:r>
      <w:r>
        <w:rPr>
          <w:rFonts w:ascii="Times New Roman" w:hAnsi="Times New Roman"/>
          <w:i/>
          <w:color w:val="808080"/>
          <w:sz w:val="18"/>
        </w:rPr>
        <w:t>’</w:t>
      </w:r>
      <w:r>
        <w:rPr>
          <w:rFonts w:ascii="Arial" w:hAnsi="Arial"/>
          <w:i/>
          <w:color w:val="808080"/>
          <w:sz w:val="19"/>
        </w:rPr>
        <w:t>atorgaran 0 punts per aquest criteri*</w:t>
      </w:r>
    </w:p>
    <w:p>
      <w:pPr>
        <w:spacing w:after="0" w:line="340" w:lineRule="auto"/>
        <w:jc w:val="left"/>
        <w:rPr>
          <w:rFonts w:ascii="Arial" w:hAnsi="Arial"/>
          <w:i/>
          <w:sz w:val="19"/>
        </w:rPr>
        <w:sectPr>
          <w:headerReference w:type="default" r:id="rId5"/>
          <w:footerReference w:type="default" r:id="rId6"/>
          <w:type w:val="continuous"/>
          <w:pgSz w:w="11910" w:h="16840"/>
          <w:pgMar w:header="650" w:footer="592" w:top="1600" w:bottom="780" w:left="1559" w:right="1559"/>
          <w:pgNumType w:start="48"/>
        </w:sectPr>
      </w:pPr>
    </w:p>
    <w:p>
      <w:pPr>
        <w:pStyle w:val="BodyText"/>
        <w:spacing w:before="3"/>
        <w:rPr>
          <w:rFonts w:ascii="Arial"/>
          <w:i/>
          <w:sz w:val="7"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Arial"/>
                <w:i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Arial"/>
                <w:i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Arial"/>
                <w:position w:val="-2"/>
                <w:sz w:val="15"/>
              </w:rPr>
            </w:pPr>
            <w:r>
              <w:rPr>
                <w:rFonts w:ascii="Arial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11" o:title=""/>
                      </v:shape>
                      <v:shape style="position:absolute;left:1218;top:0;width:125;height:155" type="#_x0000_t75" id="docshape9" stroked="false">
                        <v:imagedata r:id="rId9" o:title=""/>
                      </v:shape>
                      <v:shape style="position:absolute;left:1066;top:0;width:125;height:155" type="#_x0000_t75" id="docshape10" stroked="false">
                        <v:imagedata r:id="rId12" o:title=""/>
                      </v:shape>
                      <v:shape style="position:absolute;left:913;top:0;width:140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14" o:title=""/>
                      </v:shape>
                      <v:shape style="position:absolute;left:609;top:0;width:115;height:155" type="#_x0000_t75" id="docshape13" stroked="false">
                        <v:imagedata r:id="rId15" o:title=""/>
                      </v:shape>
                      <v:shape style="position:absolute;left:2436;top:0;width:125;height:155" type="#_x0000_t75" id="docshape14" stroked="false">
                        <v:imagedata r:id="rId9" o:title=""/>
                      </v:shape>
                      <v:shape style="position:absolute;left:2284;top:0;width:140;height:155" type="#_x0000_t75" id="docshape15" stroked="false">
                        <v:imagedata r:id="rId13" o:title=""/>
                      </v:shape>
                      <v:shape style="position:absolute;left:2132;top:0;width:140;height:155" type="#_x0000_t75" id="docshape16" stroked="false">
                        <v:imagedata r:id="rId16" o:title=""/>
                      </v:shape>
                      <v:shape style="position:absolute;left:1979;top:0;width:125;height:155" type="#_x0000_t75" id="docshape17" stroked="false">
                        <v:imagedata r:id="rId9" o:title=""/>
                      </v:shape>
                      <v:shape style="position:absolute;left:1827;top:0;width:115;height:155" type="#_x0000_t75" id="docshape18" stroked="false">
                        <v:imagedata r:id="rId17" o:title=""/>
                      </v:shape>
                      <v:shape style="position:absolute;left:1675;top:0;width:125;height:155" type="#_x0000_t75" id="docshape19" stroked="false">
                        <v:imagedata r:id="rId11" o:title=""/>
                      </v:shape>
                      <v:shape style="position:absolute;left:1523;top:0;width:140;height:155" type="#_x0000_t75" id="docshape20" stroked="false">
                        <v:imagedata r:id="rId18" o:title=""/>
                      </v:shape>
                      <v:shape style="position:absolute;left:3350;top:0;width:180;height:155" type="#_x0000_t75" id="docshape21" stroked="false">
                        <v:imagedata r:id="rId19" o:title=""/>
                      </v:shape>
                      <v:shape style="position:absolute;left:3198;top:0;width:140;height:155" type="#_x0000_t75" id="docshape22" stroked="false">
                        <v:imagedata r:id="rId20" o:title=""/>
                      </v:shape>
                      <v:shape style="position:absolute;left:3046;top:0;width:140;height:155" type="#_x0000_t75" id="docshape23" stroked="false">
                        <v:imagedata r:id="rId21" o:title=""/>
                      </v:shape>
                      <v:shape style="position:absolute;left:2893;top:0;width:115;height:155" type="#_x0000_t75" id="docshape24" stroked="false">
                        <v:imagedata r:id="rId22" o:title=""/>
                      </v:shape>
                      <v:shape style="position:absolute;left:2741;top:0;width:140;height:155" type="#_x0000_t75" id="docshape25" stroked="false">
                        <v:imagedata r:id="rId23" o:title=""/>
                      </v:shape>
                      <v:shape style="position:absolute;left:2589;top:0;width:125;height:155" type="#_x0000_t75" id="docshape26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0T4S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1750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3P3J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0R70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4"/>
                <w:sz w:val="14"/>
              </w:rPr>
              <w:t>0WBZ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SGT/2024/2778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SGT19I02YA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23-05-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 w:right="36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manteniment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l'equipament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sala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comandament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Municipal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de l'Ajuntament de Sabadell</w:t>
            </w:r>
          </w:p>
        </w:tc>
      </w:tr>
    </w:tbl>
    <w:p>
      <w:pPr>
        <w:pStyle w:val="BodyText"/>
        <w:rPr>
          <w:rFonts w:ascii="Arial"/>
          <w:i/>
        </w:rPr>
      </w:pPr>
    </w:p>
    <w:p>
      <w:pPr>
        <w:pStyle w:val="BodyText"/>
        <w:spacing w:before="3"/>
        <w:rPr>
          <w:rFonts w:ascii="Arial"/>
          <w:i/>
        </w:rPr>
      </w:pPr>
    </w:p>
    <w:p>
      <w:pPr>
        <w:pStyle w:val="ListParagraph"/>
        <w:numPr>
          <w:ilvl w:val="0"/>
          <w:numId w:val="3"/>
        </w:numPr>
        <w:tabs>
          <w:tab w:pos="861" w:val="left" w:leader="none"/>
        </w:tabs>
        <w:spacing w:line="240" w:lineRule="auto" w:before="0" w:after="0"/>
        <w:ind w:left="861" w:right="0" w:hanging="359"/>
        <w:jc w:val="left"/>
        <w:rPr>
          <w:b/>
          <w:sz w:val="22"/>
          <w:u w:val="none"/>
        </w:rPr>
      </w:pPr>
      <w:r>
        <w:rPr>
          <w:b/>
          <w:spacing w:val="-2"/>
          <w:sz w:val="22"/>
          <w:u w:val="single"/>
        </w:rPr>
        <w:t>Lot</w:t>
      </w:r>
      <w:r>
        <w:rPr>
          <w:b/>
          <w:spacing w:val="-5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2.</w:t>
      </w:r>
      <w:r>
        <w:rPr>
          <w:b/>
          <w:spacing w:val="-4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Manteniment</w:t>
      </w:r>
      <w:r>
        <w:rPr>
          <w:b/>
          <w:spacing w:val="-5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Sistemes</w:t>
      </w:r>
      <w:r>
        <w:rPr>
          <w:b/>
          <w:spacing w:val="-5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Audiovisuals: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42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pacing w:val="-2"/>
          <w:sz w:val="22"/>
          <w:u w:val="single"/>
        </w:rPr>
        <w:t>Criteri</w:t>
      </w:r>
      <w:r>
        <w:rPr>
          <w:rFonts w:ascii="Arial" w:hAnsi="Arial"/>
          <w:b/>
          <w:spacing w:val="-8"/>
          <w:sz w:val="22"/>
          <w:u w:val="single"/>
        </w:rPr>
        <w:t> </w:t>
      </w:r>
      <w:r>
        <w:rPr>
          <w:rFonts w:ascii="Arial" w:hAnsi="Arial"/>
          <w:b/>
          <w:spacing w:val="-2"/>
          <w:sz w:val="22"/>
          <w:u w:val="single"/>
        </w:rPr>
        <w:t>d’adjudicació.</w:t>
      </w:r>
      <w:r>
        <w:rPr>
          <w:rFonts w:ascii="Arial" w:hAnsi="Arial"/>
          <w:b/>
          <w:spacing w:val="-6"/>
          <w:sz w:val="22"/>
          <w:u w:val="single"/>
        </w:rPr>
        <w:t> </w:t>
      </w:r>
      <w:r>
        <w:rPr>
          <w:rFonts w:ascii="Arial" w:hAnsi="Arial"/>
          <w:b/>
          <w:spacing w:val="-2"/>
          <w:sz w:val="22"/>
          <w:u w:val="single"/>
        </w:rPr>
        <w:t>Baixa</w:t>
      </w:r>
      <w:r>
        <w:rPr>
          <w:rFonts w:ascii="Arial" w:hAnsi="Arial"/>
          <w:b/>
          <w:spacing w:val="-7"/>
          <w:sz w:val="22"/>
          <w:u w:val="single"/>
        </w:rPr>
        <w:t> </w:t>
      </w:r>
      <w:r>
        <w:rPr>
          <w:rFonts w:ascii="Arial" w:hAnsi="Arial"/>
          <w:b/>
          <w:spacing w:val="-2"/>
          <w:sz w:val="22"/>
          <w:u w:val="single"/>
        </w:rPr>
        <w:t>econòmica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42" w:right="1092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>Percentatge</w:t>
      </w:r>
      <w:r>
        <w:rPr>
          <w:rFonts w:ascii="Arial" w:hAnsi="Arial"/>
          <w:b/>
          <w:spacing w:val="-1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-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baixa</w:t>
      </w:r>
      <w:r>
        <w:rPr>
          <w:rFonts w:ascii="Arial" w:hAnsi="Arial"/>
          <w:b/>
          <w:spacing w:val="-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respecte</w:t>
      </w:r>
      <w:r>
        <w:rPr>
          <w:rFonts w:ascii="Arial" w:hAnsi="Arial"/>
          <w:b/>
          <w:spacing w:val="-1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al</w:t>
      </w:r>
      <w:r>
        <w:rPr>
          <w:rFonts w:ascii="Arial" w:hAnsi="Arial"/>
          <w:b/>
          <w:spacing w:val="-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pressupost</w:t>
      </w:r>
      <w:r>
        <w:rPr>
          <w:rFonts w:ascii="Arial" w:hAnsi="Arial"/>
          <w:b/>
          <w:spacing w:val="-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base</w:t>
      </w:r>
      <w:r>
        <w:rPr>
          <w:rFonts w:ascii="Arial" w:hAnsi="Arial"/>
          <w:b/>
          <w:spacing w:val="-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-1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licitació</w:t>
      </w:r>
      <w:r>
        <w:rPr>
          <w:rFonts w:ascii="Arial" w:hAnsi="Arial"/>
          <w:b/>
          <w:spacing w:val="-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(IVA</w:t>
      </w:r>
      <w:r>
        <w:rPr>
          <w:rFonts w:ascii="Arial" w:hAnsi="Arial"/>
          <w:b/>
          <w:spacing w:val="-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inclòs)</w:t>
      </w:r>
      <w:r>
        <w:rPr>
          <w:rFonts w:ascii="Arial" w:hAnsi="Arial"/>
          <w:b/>
          <w:sz w:val="22"/>
        </w:rPr>
        <w:t> </w:t>
      </w:r>
      <w:r>
        <w:rPr>
          <w:rFonts w:ascii="Arial" w:hAnsi="Arial"/>
          <w:b/>
          <w:sz w:val="22"/>
          <w:u w:val="single"/>
        </w:rPr>
        <w:t>corresponent al lot 2 . ( fins a 100 punts)</w:t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142" w:right="137"/>
        <w:jc w:val="both"/>
      </w:pPr>
      <w:r>
        <w:rPr/>
        <w:t>A efectes de determinar el preu d’adjudicació, la baixa no s’aplicarà sobre la previsió global corresponent al manteniment correctiu atès la consideració de límit màxim de </w:t>
      </w:r>
      <w:r>
        <w:rPr>
          <w:spacing w:val="-2"/>
        </w:rPr>
        <w:t>despesa.</w:t>
      </w:r>
    </w:p>
    <w:p>
      <w:pPr>
        <w:pStyle w:val="BodyText"/>
      </w:pPr>
    </w:p>
    <w:p>
      <w:pPr>
        <w:pStyle w:val="BodyText"/>
        <w:ind w:left="142" w:right="136"/>
        <w:jc w:val="both"/>
      </w:pPr>
      <w:r>
        <w:rPr/>
        <w:t>La part del pressupost base de licitació corresponent a manteniment correctiu té consideració de límit màxim de despesa, en tractar-se d’una part del contracte que s’executa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funció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les</w:t>
      </w:r>
      <w:r>
        <w:rPr>
          <w:spacing w:val="-7"/>
        </w:rPr>
        <w:t> </w:t>
      </w:r>
      <w:r>
        <w:rPr/>
        <w:t>necessitats.</w:t>
      </w:r>
      <w:r>
        <w:rPr>
          <w:spacing w:val="-7"/>
        </w:rPr>
        <w:t> </w:t>
      </w:r>
      <w:r>
        <w:rPr/>
        <w:t>Per</w:t>
      </w:r>
      <w:r>
        <w:rPr>
          <w:spacing w:val="-7"/>
        </w:rPr>
        <w:t> </w:t>
      </w:r>
      <w:r>
        <w:rPr/>
        <w:t>tant,</w:t>
      </w:r>
      <w:r>
        <w:rPr>
          <w:spacing w:val="-7"/>
        </w:rPr>
        <w:t> </w:t>
      </w:r>
      <w:r>
        <w:rPr/>
        <w:t>sobre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pressupost</w:t>
      </w:r>
      <w:r>
        <w:rPr>
          <w:spacing w:val="-7"/>
        </w:rPr>
        <w:t> </w:t>
      </w:r>
      <w:r>
        <w:rPr/>
        <w:t>base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licitació</w:t>
      </w:r>
      <w:r>
        <w:rPr>
          <w:spacing w:val="-7"/>
        </w:rPr>
        <w:t> </w:t>
      </w:r>
      <w:r>
        <w:rPr/>
        <w:t>no s’aplicarà la baixa presentada pel contractista, a fi de mantenir la disponibilitat econòmica dedicada al manteniment correctiu i afavorir la realització del major número d’actuacions possibles.</w:t>
      </w:r>
    </w:p>
    <w:p>
      <w:pPr>
        <w:pStyle w:val="BodyText"/>
      </w:pPr>
    </w:p>
    <w:p>
      <w:pPr>
        <w:pStyle w:val="BodyText"/>
        <w:ind w:left="142" w:right="136"/>
        <w:jc w:val="both"/>
      </w:pPr>
      <w:r>
        <w:rPr/>
        <w:t>La baixa del contractista s’aplicarà a tots els preus unitaris de mà d’obra i de material necessaris per</w:t>
      </w:r>
      <w:r>
        <w:rPr>
          <w:spacing w:val="-1"/>
        </w:rPr>
        <w:t> </w:t>
      </w:r>
      <w:r>
        <w:rPr/>
        <w:t>realitzar</w:t>
      </w:r>
      <w:r>
        <w:rPr>
          <w:spacing w:val="-2"/>
        </w:rPr>
        <w:t> </w:t>
      </w:r>
      <w:r>
        <w:rPr/>
        <w:t>les actuacions</w:t>
      </w:r>
      <w:r>
        <w:rPr>
          <w:spacing w:val="-2"/>
        </w:rPr>
        <w:t> </w:t>
      </w:r>
      <w:r>
        <w:rPr/>
        <w:t>de manteniment</w:t>
      </w:r>
      <w:r>
        <w:rPr>
          <w:spacing w:val="-1"/>
        </w:rPr>
        <w:t> </w:t>
      </w:r>
      <w:r>
        <w:rPr/>
        <w:t>correctiu.</w:t>
      </w:r>
    </w:p>
    <w:p>
      <w:pPr>
        <w:pStyle w:val="BodyText"/>
      </w:pPr>
    </w:p>
    <w:p>
      <w:pPr>
        <w:spacing w:before="0"/>
        <w:ind w:left="142" w:right="0" w:firstLine="0"/>
        <w:jc w:val="both"/>
        <w:rPr>
          <w:sz w:val="20"/>
        </w:rPr>
      </w:pPr>
      <w:r>
        <w:rPr>
          <w:spacing w:val="-2"/>
          <w:sz w:val="20"/>
        </w:rPr>
        <w:t>Emplenar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només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les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cel·les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ombrejades</w:t>
      </w:r>
    </w:p>
    <w:tbl>
      <w:tblPr>
        <w:tblW w:w="0" w:type="auto"/>
        <w:jc w:val="left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88"/>
        <w:gridCol w:w="1413"/>
        <w:gridCol w:w="1469"/>
        <w:gridCol w:w="1814"/>
        <w:gridCol w:w="1837"/>
      </w:tblGrid>
      <w:tr>
        <w:trPr>
          <w:trHeight w:val="758" w:hRule="atLeast"/>
        </w:trPr>
        <w:tc>
          <w:tcPr>
            <w:tcW w:w="2188" w:type="dxa"/>
          </w:tcPr>
          <w:p>
            <w:pPr>
              <w:pStyle w:val="TableParagraph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Tipus de </w:t>
            </w:r>
            <w:r>
              <w:rPr>
                <w:rFonts w:ascii="Arial"/>
                <w:b/>
                <w:spacing w:val="-4"/>
                <w:sz w:val="22"/>
              </w:rPr>
              <w:t>Manteniment</w:t>
            </w:r>
          </w:p>
        </w:tc>
        <w:tc>
          <w:tcPr>
            <w:tcW w:w="1413" w:type="dxa"/>
          </w:tcPr>
          <w:p>
            <w:pPr>
              <w:pStyle w:val="TableParagraph"/>
              <w:spacing w:line="250" w:lineRule="atLeast"/>
              <w:ind w:left="117" w:right="103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pacing w:val="-4"/>
                <w:sz w:val="22"/>
              </w:rPr>
              <w:t>Pressupost </w:t>
            </w:r>
            <w:r>
              <w:rPr>
                <w:rFonts w:ascii="Arial" w:hAnsi="Arial"/>
                <w:b/>
                <w:sz w:val="22"/>
              </w:rPr>
              <w:t>Base de </w:t>
            </w:r>
            <w:r>
              <w:rPr>
                <w:rFonts w:ascii="Arial" w:hAnsi="Arial"/>
                <w:b/>
                <w:spacing w:val="-2"/>
                <w:sz w:val="22"/>
              </w:rPr>
              <w:t>Licitació</w:t>
            </w:r>
          </w:p>
        </w:tc>
        <w:tc>
          <w:tcPr>
            <w:tcW w:w="1469" w:type="dxa"/>
          </w:tcPr>
          <w:p>
            <w:pPr>
              <w:pStyle w:val="TableParagraph"/>
              <w:ind w:left="108" w:right="20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%</w:t>
            </w:r>
            <w:r>
              <w:rPr>
                <w:rFonts w:ascii="Arial"/>
                <w:b/>
                <w:spacing w:val="-16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</w:t>
            </w:r>
            <w:r>
              <w:rPr>
                <w:rFonts w:ascii="Arial"/>
                <w:b/>
                <w:spacing w:val="-15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Baixa </w:t>
            </w:r>
            <w:r>
              <w:rPr>
                <w:rFonts w:ascii="Arial"/>
                <w:b/>
                <w:spacing w:val="-2"/>
                <w:sz w:val="22"/>
              </w:rPr>
              <w:t>ofert</w:t>
            </w:r>
          </w:p>
        </w:tc>
        <w:tc>
          <w:tcPr>
            <w:tcW w:w="1814" w:type="dxa"/>
          </w:tcPr>
          <w:p>
            <w:pPr>
              <w:pStyle w:val="TableParagraph"/>
              <w:ind w:left="216" w:right="94" w:hanging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Import</w:t>
            </w:r>
            <w:r>
              <w:rPr>
                <w:rFonts w:ascii="Arial"/>
                <w:b/>
                <w:spacing w:val="-14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de</w:t>
            </w:r>
            <w:r>
              <w:rPr>
                <w:rFonts w:ascii="Arial"/>
                <w:b/>
                <w:spacing w:val="-13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baixa corresponent</w:t>
            </w:r>
          </w:p>
        </w:tc>
        <w:tc>
          <w:tcPr>
            <w:tcW w:w="1837" w:type="dxa"/>
          </w:tcPr>
          <w:p>
            <w:pPr>
              <w:pStyle w:val="TableParagraph"/>
              <w:ind w:left="108" w:right="655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pacing w:val="-2"/>
                <w:sz w:val="22"/>
              </w:rPr>
              <w:t>Oferta</w:t>
            </w:r>
            <w:r>
              <w:rPr>
                <w:rFonts w:ascii="Arial" w:hAnsi="Arial"/>
                <w:b/>
                <w:spacing w:val="-14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IVA inclòs</w:t>
            </w:r>
          </w:p>
        </w:tc>
      </w:tr>
      <w:tr>
        <w:trPr>
          <w:trHeight w:val="505" w:hRule="atLeast"/>
        </w:trPr>
        <w:tc>
          <w:tcPr>
            <w:tcW w:w="2188" w:type="dxa"/>
          </w:tcPr>
          <w:p>
            <w:pPr>
              <w:pStyle w:val="TableParagraph"/>
              <w:spacing w:line="250" w:lineRule="atLeast"/>
              <w:ind w:left="108"/>
              <w:rPr>
                <w:sz w:val="22"/>
              </w:rPr>
            </w:pPr>
            <w:r>
              <w:rPr>
                <w:spacing w:val="-4"/>
                <w:sz w:val="22"/>
              </w:rPr>
              <w:t>Manteniment </w:t>
            </w:r>
            <w:r>
              <w:rPr>
                <w:spacing w:val="-2"/>
                <w:sz w:val="22"/>
              </w:rPr>
              <w:t>Preventiu</w:t>
            </w:r>
          </w:p>
        </w:tc>
        <w:tc>
          <w:tcPr>
            <w:tcW w:w="1413" w:type="dxa"/>
          </w:tcPr>
          <w:p>
            <w:pPr>
              <w:pStyle w:val="TableParagraph"/>
              <w:ind w:right="10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18.222,60€</w:t>
            </w:r>
          </w:p>
        </w:tc>
        <w:tc>
          <w:tcPr>
            <w:tcW w:w="1469" w:type="dxa"/>
            <w:shd w:val="clear" w:color="auto" w:fill="BFBFBF"/>
          </w:tcPr>
          <w:p>
            <w:pPr>
              <w:pStyle w:val="TableParagraph"/>
              <w:ind w:right="94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%</w:t>
            </w:r>
          </w:p>
        </w:tc>
        <w:tc>
          <w:tcPr>
            <w:tcW w:w="1814" w:type="dxa"/>
            <w:shd w:val="clear" w:color="auto" w:fill="BFBFBF"/>
          </w:tcPr>
          <w:p>
            <w:pPr>
              <w:pStyle w:val="TableParagraph"/>
              <w:ind w:right="94"/>
              <w:jc w:val="right"/>
              <w:rPr>
                <w:sz w:val="22"/>
              </w:rPr>
            </w:pPr>
            <w:r>
              <w:rPr>
                <w:spacing w:val="-10"/>
                <w:w w:val="65"/>
                <w:sz w:val="22"/>
              </w:rPr>
              <w:t>€</w:t>
            </w:r>
          </w:p>
        </w:tc>
        <w:tc>
          <w:tcPr>
            <w:tcW w:w="1837" w:type="dxa"/>
            <w:shd w:val="clear" w:color="auto" w:fill="BFBFBF"/>
          </w:tcPr>
          <w:p>
            <w:pPr>
              <w:pStyle w:val="TableParagraph"/>
              <w:ind w:right="94"/>
              <w:jc w:val="right"/>
              <w:rPr>
                <w:sz w:val="22"/>
              </w:rPr>
            </w:pPr>
            <w:r>
              <w:rPr>
                <w:spacing w:val="-10"/>
                <w:w w:val="65"/>
                <w:sz w:val="22"/>
              </w:rPr>
              <w:t>€</w:t>
            </w:r>
          </w:p>
        </w:tc>
      </w:tr>
      <w:tr>
        <w:trPr>
          <w:trHeight w:val="505" w:hRule="atLeast"/>
        </w:trPr>
        <w:tc>
          <w:tcPr>
            <w:tcW w:w="2188" w:type="dxa"/>
          </w:tcPr>
          <w:p>
            <w:pPr>
              <w:pStyle w:val="TableParagraph"/>
              <w:spacing w:line="250" w:lineRule="atLeast"/>
              <w:ind w:left="108"/>
              <w:rPr>
                <w:sz w:val="22"/>
              </w:rPr>
            </w:pPr>
            <w:r>
              <w:rPr>
                <w:spacing w:val="-4"/>
                <w:sz w:val="22"/>
              </w:rPr>
              <w:t>Manteniment </w:t>
            </w:r>
            <w:r>
              <w:rPr>
                <w:spacing w:val="-2"/>
                <w:sz w:val="22"/>
              </w:rPr>
              <w:t>Correctiu</w:t>
            </w:r>
          </w:p>
        </w:tc>
        <w:tc>
          <w:tcPr>
            <w:tcW w:w="1413" w:type="dxa"/>
          </w:tcPr>
          <w:p>
            <w:pPr>
              <w:pStyle w:val="TableParagraph"/>
              <w:ind w:right="10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24.200,00€</w:t>
            </w:r>
          </w:p>
        </w:tc>
        <w:tc>
          <w:tcPr>
            <w:tcW w:w="1469" w:type="dxa"/>
          </w:tcPr>
          <w:p>
            <w:pPr>
              <w:pStyle w:val="TableParagraph"/>
              <w:ind w:right="102"/>
              <w:jc w:val="righ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pacing w:val="-10"/>
                <w:sz w:val="22"/>
              </w:rPr>
              <w:t>-</w:t>
            </w:r>
          </w:p>
        </w:tc>
        <w:tc>
          <w:tcPr>
            <w:tcW w:w="1814" w:type="dxa"/>
          </w:tcPr>
          <w:p>
            <w:pPr>
              <w:pStyle w:val="TableParagraph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pacing w:val="-10"/>
                <w:sz w:val="22"/>
              </w:rPr>
              <w:t>-</w:t>
            </w:r>
          </w:p>
        </w:tc>
        <w:tc>
          <w:tcPr>
            <w:tcW w:w="1837" w:type="dxa"/>
          </w:tcPr>
          <w:p>
            <w:pPr>
              <w:pStyle w:val="TableParagraph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pacing w:val="-10"/>
                <w:sz w:val="22"/>
              </w:rPr>
              <w:t>-</w:t>
            </w:r>
          </w:p>
        </w:tc>
      </w:tr>
      <w:tr>
        <w:trPr>
          <w:trHeight w:val="252" w:hRule="atLeast"/>
        </w:trPr>
        <w:tc>
          <w:tcPr>
            <w:tcW w:w="2188" w:type="dxa"/>
          </w:tcPr>
          <w:p>
            <w:pPr>
              <w:pStyle w:val="TableParagraph"/>
              <w:spacing w:line="233" w:lineRule="exact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TOTAL</w:t>
            </w:r>
          </w:p>
        </w:tc>
        <w:tc>
          <w:tcPr>
            <w:tcW w:w="1413" w:type="dxa"/>
          </w:tcPr>
          <w:p>
            <w:pPr>
              <w:pStyle w:val="TableParagraph"/>
              <w:spacing w:line="233" w:lineRule="exact"/>
              <w:ind w:right="10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pacing w:val="-2"/>
                <w:sz w:val="22"/>
              </w:rPr>
              <w:t>42.422,60€</w:t>
            </w:r>
          </w:p>
        </w:tc>
        <w:tc>
          <w:tcPr>
            <w:tcW w:w="3283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7" w:type="dxa"/>
            <w:shd w:val="clear" w:color="auto" w:fill="BFBFBF"/>
          </w:tcPr>
          <w:p>
            <w:pPr>
              <w:pStyle w:val="TableParagraph"/>
              <w:spacing w:line="233" w:lineRule="exact"/>
              <w:ind w:right="94"/>
              <w:jc w:val="right"/>
              <w:rPr>
                <w:sz w:val="22"/>
              </w:rPr>
            </w:pPr>
            <w:r>
              <w:rPr>
                <w:spacing w:val="-10"/>
                <w:w w:val="65"/>
                <w:sz w:val="22"/>
              </w:rPr>
              <w:t>€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5"/>
        <w:rPr>
          <w:sz w:val="20"/>
        </w:rPr>
      </w:pPr>
    </w:p>
    <w:p>
      <w:pPr>
        <w:pStyle w:val="BodyText"/>
        <w:spacing w:before="1"/>
        <w:ind w:left="1560"/>
      </w:pPr>
      <w:r>
        <w:rPr/>
        <w:t>,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before="1"/>
        <w:ind w:left="142"/>
      </w:pPr>
      <w:r>
        <w:rPr>
          <w:spacing w:val="-2"/>
        </w:rPr>
        <w:t>Signat,</w:t>
      </w:r>
    </w:p>
    <w:sectPr>
      <w:pgSz w:w="11910" w:h="16840"/>
      <w:pgMar w:header="650" w:footer="592" w:top="1600" w:bottom="780" w:left="1559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JhengHei Light">
    <w:altName w:val="Microsoft JhengHei Light"/>
    <w:charset w:val="1"/>
    <w:family w:val="swiss"/>
    <w:pitch w:val="variable"/>
  </w:font>
  <w:font w:name="Microsoft JhengHei">
    <w:altName w:val="Microsoft JhengHei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44480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7200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44992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48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/53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87148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48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/53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43968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11170" cy="32384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1170" cy="323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"/>
      <w:lvlJc w:val="left"/>
      <w:pPr>
        <w:ind w:left="862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652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445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238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031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824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616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09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202" w:hanging="360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"/>
      <w:lvlJc w:val="left"/>
      <w:pPr>
        <w:ind w:left="862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652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445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238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031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824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616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09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202" w:hanging="360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□"/>
      <w:lvlJc w:val="left"/>
      <w:pPr>
        <w:ind w:left="862" w:hanging="36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652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445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238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031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824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616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09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202" w:hanging="360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861" w:hanging="359"/>
    </w:pPr>
    <w:rPr>
      <w:rFonts w:ascii="Arial" w:hAnsi="Arial" w:eastAsia="Arial" w:cs="Arial"/>
      <w:u w:val="single" w:color="000000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2025-05-30T08:28:22Z</dcterms:created>
  <dcterms:modified xsi:type="dcterms:W3CDTF">2025-05-30T08:28:22Z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LastSaved">
    <vt:filetime>2025-05-30T00:00:00Z</vt:filetime>
  </property>
  <property fmtid="{D5CDD505-2E9C-101B-9397-08002B2CF9AE}" pid="4" name="Producer">
    <vt:lpwstr>iLovePDF</vt:lpwstr>
  </property>
</Properties>
</file>