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25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25;height:155" type="#_x0000_t75" id="docshape12" stroked="false">
                        <v:imagedata r:id="rId7" o:title=""/>
                      </v:shape>
                      <v:shape style="position:absolute;left:609;top:0;width:125;height:155" type="#_x0000_t75" id="docshape13" stroked="false">
                        <v:imagedata r:id="rId7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9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7" o:title=""/>
                      </v:shape>
                      <v:shape style="position:absolute;left:1827;top:0;width:140;height:155" type="#_x0000_t75" id="docshape18" stroked="false">
                        <v:imagedata r:id="rId14" o:title=""/>
                      </v:shape>
                      <v:shape style="position:absolute;left:1675;top:0;width:125;height:155" type="#_x0000_t75" id="docshape19" stroked="false">
                        <v:imagedata r:id="rId9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25;height:155" type="#_x0000_t75" id="docshape22" stroked="false">
                        <v:imagedata r:id="rId20" o:title=""/>
                      </v:shape>
                      <v:shape style="position:absolute;left:3046;top:0;width:115;height:155" type="#_x0000_t75" id="docshape23" stroked="false">
                        <v:imagedata r:id="rId8" o:title=""/>
                      </v:shape>
                      <v:shape style="position:absolute;left:2893;top:0;width:115;height:155" type="#_x0000_t75" id="docshape24" stroked="false">
                        <v:imagedata r:id="rId21" o:title=""/>
                      </v:shape>
                      <v:shape style="position:absolute;left:2741;top:0;width:140;height:155" type="#_x0000_t75" id="docshape25" stroked="false">
                        <v:imagedata r:id="rId11" o:title=""/>
                      </v:shape>
                      <v:shape style="position:absolute;left:2589;top:0;width:140;height:155" type="#_x0000_t75" id="docshape26" stroked="false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0M55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5C3L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4X0C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2P0Q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14DM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SGT/2025/1006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SGT19I030O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vestuari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impermeable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pels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Municipal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19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Heading1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5"/>
          <w:u w:val="none"/>
        </w:rPr>
        <w:t> </w:t>
      </w:r>
      <w:r>
        <w:rPr>
          <w:spacing w:val="-2"/>
          <w:u w:val="none"/>
        </w:rPr>
        <w:t>D’OFERTA</w:t>
      </w:r>
      <w:r>
        <w:rPr>
          <w:spacing w:val="-5"/>
          <w:u w:val="none"/>
        </w:rPr>
        <w:t> </w:t>
      </w:r>
      <w:r>
        <w:rPr>
          <w:spacing w:val="-2"/>
          <w:u w:val="none"/>
        </w:rPr>
        <w:t>ECONÒMICA</w:t>
      </w:r>
      <w:r>
        <w:rPr>
          <w:spacing w:val="-3"/>
          <w:u w:val="none"/>
        </w:rPr>
        <w:t> </w:t>
      </w:r>
      <w:r>
        <w:rPr>
          <w:spacing w:val="-2"/>
          <w:u w:val="none"/>
        </w:rPr>
        <w:t>GENERAL</w:t>
      </w: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spacing w:before="230"/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2268" w:val="left" w:leader="none"/>
          <w:tab w:pos="5813" w:val="left" w:leader="none"/>
          <w:tab w:pos="7231" w:val="left" w:leader="none"/>
          <w:tab w:pos="7941" w:val="left" w:leader="none"/>
        </w:tabs>
        <w:ind w:left="142" w:right="1130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80"/>
        </w:rPr>
        <w:t> </w:t>
      </w:r>
      <w:r>
        <w:rPr/>
        <w:t>amb</w:t>
      </w:r>
      <w:r>
        <w:rPr>
          <w:spacing w:val="80"/>
        </w:rPr>
        <w:t> </w:t>
      </w:r>
      <w:r>
        <w:rPr/>
        <w:t>número de protocol</w:t>
        <w:tab/>
        <w:t>, assabentat de l’anunci publicat en data</w:t>
        <w:tab/>
        <w:t>en</w:t>
      </w:r>
      <w:r>
        <w:rPr>
          <w:spacing w:val="40"/>
        </w:rPr>
        <w:t> </w:t>
      </w:r>
      <w:r>
        <w:rPr/>
        <w:t>el</w:t>
      </w:r>
      <w:r>
        <w:rPr>
          <w:spacing w:val="40"/>
        </w:rPr>
        <w:t> </w:t>
      </w:r>
      <w:r>
        <w:rPr/>
        <w:t>perfil</w:t>
      </w:r>
      <w:r>
        <w:rPr>
          <w:spacing w:val="40"/>
        </w:rPr>
        <w:t> </w:t>
      </w:r>
      <w:r>
        <w:rPr/>
        <w:t>del contractant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l’Ajuntament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Sabadell</w:t>
      </w:r>
      <w:r>
        <w:rPr>
          <w:spacing w:val="28"/>
        </w:rPr>
        <w:t> </w:t>
      </w:r>
      <w:r>
        <w:rPr/>
        <w:t>i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les</w:t>
      </w:r>
      <w:r>
        <w:rPr>
          <w:spacing w:val="28"/>
        </w:rPr>
        <w:t> </w:t>
      </w:r>
      <w:r>
        <w:rPr/>
        <w:t>condicions</w:t>
      </w:r>
      <w:r>
        <w:rPr>
          <w:spacing w:val="28"/>
        </w:rPr>
        <w:t> </w:t>
      </w:r>
      <w:r>
        <w:rPr/>
        <w:t>i</w:t>
      </w:r>
      <w:r>
        <w:rPr>
          <w:spacing w:val="28"/>
        </w:rPr>
        <w:t> </w:t>
      </w:r>
      <w:r>
        <w:rPr/>
        <w:t>requisits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s’exigeixen</w:t>
      </w:r>
      <w:r>
        <w:rPr>
          <w:spacing w:val="28"/>
        </w:rPr>
        <w:t> </w:t>
      </w:r>
      <w:r>
        <w:rPr/>
        <w:t>per</w:t>
      </w:r>
      <w:r>
        <w:rPr>
          <w:spacing w:val="28"/>
        </w:rPr>
        <w:t> </w:t>
      </w:r>
      <w:r>
        <w:rPr/>
        <w:t>a l’adjudicació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contracte</w:t>
      </w:r>
      <w:r>
        <w:rPr>
          <w:spacing w:val="40"/>
        </w:rPr>
        <w:t> </w:t>
      </w:r>
      <w:r>
        <w:rPr/>
        <w:t>anomenat</w:t>
      </w:r>
      <w:r>
        <w:rPr>
          <w:spacing w:val="40"/>
        </w:rPr>
        <w:t> </w:t>
      </w:r>
      <w:r>
        <w:rPr>
          <w:rFonts w:ascii="Arial" w:hAnsi="Arial"/>
          <w:b/>
          <w:i/>
        </w:rPr>
        <w:t>“Subministrament</w:t>
      </w:r>
      <w:r>
        <w:rPr>
          <w:rFonts w:ascii="Arial" w:hAnsi="Arial"/>
          <w:b/>
          <w:i/>
          <w:spacing w:val="40"/>
        </w:rPr>
        <w:t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40"/>
        </w:rPr>
        <w:t> </w:t>
      </w:r>
      <w:r>
        <w:rPr>
          <w:rFonts w:ascii="Arial" w:hAnsi="Arial"/>
          <w:b/>
          <w:i/>
        </w:rPr>
        <w:t>vestuari</w:t>
      </w:r>
      <w:r>
        <w:rPr>
          <w:rFonts w:ascii="Arial" w:hAnsi="Arial"/>
          <w:b/>
          <w:i/>
          <w:spacing w:val="40"/>
        </w:rPr>
        <w:t> </w:t>
      </w:r>
      <w:r>
        <w:rPr>
          <w:rFonts w:ascii="Arial" w:hAnsi="Arial"/>
          <w:b/>
          <w:i/>
        </w:rPr>
        <w:t>impermeable</w:t>
      </w:r>
      <w:r>
        <w:rPr>
          <w:rFonts w:ascii="Arial" w:hAnsi="Arial"/>
          <w:b/>
          <w:i/>
          <w:spacing w:val="40"/>
        </w:rPr>
        <w:t> </w:t>
      </w:r>
      <w:r>
        <w:rPr>
          <w:rFonts w:ascii="Arial" w:hAnsi="Arial"/>
          <w:b/>
          <w:i/>
        </w:rPr>
        <w:t>pels</w:t>
      </w:r>
      <w:r>
        <w:rPr>
          <w:rFonts w:ascii="Arial" w:hAnsi="Arial"/>
          <w:b/>
          <w:i/>
          <w:spacing w:val="40"/>
        </w:rPr>
        <w:t> </w:t>
      </w:r>
      <w:r>
        <w:rPr>
          <w:rFonts w:ascii="Arial" w:hAnsi="Arial"/>
          <w:b/>
          <w:i/>
        </w:rPr>
        <w:t>agents de la Policia Municipal de Sabadell</w:t>
      </w:r>
      <w:r>
        <w:rPr/>
        <w:t>” concorre a aquest procediment i es compromet, en cas de ser seleccionada la seva oferta, a l’execució del contracte amb estricta subjecció al plec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clàusules</w:t>
      </w:r>
      <w:r>
        <w:rPr>
          <w:spacing w:val="-8"/>
        </w:rPr>
        <w:t> </w:t>
      </w:r>
      <w:r>
        <w:rPr/>
        <w:t>administratives</w:t>
      </w:r>
      <w:r>
        <w:rPr>
          <w:spacing w:val="-8"/>
        </w:rPr>
        <w:t> </w:t>
      </w:r>
      <w:r>
        <w:rPr/>
        <w:t>particulars,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plec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condicions</w:t>
      </w:r>
      <w:r>
        <w:rPr>
          <w:spacing w:val="-8"/>
        </w:rPr>
        <w:t> </w:t>
      </w:r>
      <w:r>
        <w:rPr/>
        <w:t>tècniques</w:t>
      </w:r>
      <w:r>
        <w:rPr>
          <w:spacing w:val="-8"/>
        </w:rPr>
        <w:t> </w:t>
      </w:r>
      <w:r>
        <w:rPr/>
        <w:t>particulars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resta de documentació que forma part de la licitació.</w:t>
      </w:r>
    </w:p>
    <w:p>
      <w:pPr>
        <w:pStyle w:val="BodyText"/>
        <w:spacing w:before="230"/>
        <w:ind w:left="142" w:right="1130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Heading1"/>
        <w:jc w:val="both"/>
        <w:rPr>
          <w:u w:val="none"/>
        </w:rPr>
      </w:pPr>
      <w:r>
        <w:rPr>
          <w:u w:val="single"/>
        </w:rPr>
        <w:t>Criteri</w:t>
      </w:r>
      <w:r>
        <w:rPr>
          <w:spacing w:val="-14"/>
          <w:u w:val="single"/>
        </w:rPr>
        <w:t> </w:t>
      </w:r>
      <w:r>
        <w:rPr>
          <w:u w:val="single"/>
        </w:rPr>
        <w:t>1:</w:t>
      </w:r>
      <w:r>
        <w:rPr>
          <w:spacing w:val="-14"/>
          <w:u w:val="single"/>
        </w:rPr>
        <w:t> </w:t>
      </w:r>
      <w:r>
        <w:rPr>
          <w:u w:val="single"/>
        </w:rPr>
        <w:t>Baixa</w:t>
      </w:r>
      <w:r>
        <w:rPr>
          <w:spacing w:val="-13"/>
          <w:u w:val="single"/>
        </w:rPr>
        <w:t> </w:t>
      </w:r>
      <w:r>
        <w:rPr>
          <w:u w:val="single"/>
        </w:rPr>
        <w:t>econòmica</w:t>
      </w:r>
      <w:r>
        <w:rPr>
          <w:spacing w:val="-14"/>
          <w:u w:val="single"/>
        </w:rPr>
        <w:t> </w:t>
      </w:r>
      <w:r>
        <w:rPr>
          <w:u w:val="single"/>
        </w:rPr>
        <w:t>en</w:t>
      </w:r>
      <w:r>
        <w:rPr>
          <w:spacing w:val="-13"/>
          <w:u w:val="single"/>
        </w:rPr>
        <w:t> </w:t>
      </w:r>
      <w:r>
        <w:rPr>
          <w:u w:val="single"/>
        </w:rPr>
        <w:t>el</w:t>
      </w:r>
      <w:r>
        <w:rPr>
          <w:spacing w:val="-13"/>
          <w:u w:val="single"/>
        </w:rPr>
        <w:t> </w:t>
      </w:r>
      <w:r>
        <w:rPr>
          <w:spacing w:val="-4"/>
          <w:u w:val="single"/>
        </w:rPr>
        <w:t>preu</w:t>
      </w:r>
    </w:p>
    <w:p>
      <w:pPr>
        <w:pStyle w:val="BodyText"/>
        <w:spacing w:before="230"/>
        <w:ind w:left="142" w:right="492"/>
      </w:pPr>
      <w:r>
        <w:rPr/>
        <w:t>Segons</w:t>
      </w:r>
      <w:r>
        <w:rPr>
          <w:spacing w:val="-14"/>
        </w:rPr>
        <w:t> </w:t>
      </w:r>
      <w:r>
        <w:rPr/>
        <w:t>Informació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Quadre</w:t>
      </w:r>
      <w:r>
        <w:rPr>
          <w:spacing w:val="-14"/>
        </w:rPr>
        <w:t> </w:t>
      </w:r>
      <w:r>
        <w:rPr/>
        <w:t>Resum</w:t>
      </w:r>
      <w:r>
        <w:rPr>
          <w:spacing w:val="-14"/>
        </w:rPr>
        <w:t> </w:t>
      </w:r>
      <w:r>
        <w:rPr/>
        <w:t>(Annex</w:t>
      </w:r>
      <w:r>
        <w:rPr>
          <w:spacing w:val="-14"/>
        </w:rPr>
        <w:t> </w:t>
      </w:r>
      <w:r>
        <w:rPr/>
        <w:t>I)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Plec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Clàusules</w:t>
      </w:r>
      <w:r>
        <w:rPr>
          <w:spacing w:val="-14"/>
        </w:rPr>
        <w:t> </w:t>
      </w:r>
      <w:r>
        <w:rPr/>
        <w:t>Administratives</w:t>
      </w:r>
      <w:r>
        <w:rPr>
          <w:spacing w:val="-14"/>
        </w:rPr>
        <w:t> </w:t>
      </w:r>
      <w:r>
        <w:rPr/>
        <w:t>Particulars (PCAP)</w:t>
      </w:r>
      <w:r>
        <w:rPr>
          <w:spacing w:val="-2"/>
        </w:rPr>
        <w:t> </w:t>
      </w:r>
      <w:r>
        <w:rPr/>
        <w:t>,</w:t>
      </w:r>
      <w:r>
        <w:rPr>
          <w:spacing w:val="-3"/>
        </w:rPr>
        <w:t> </w:t>
      </w:r>
      <w:r>
        <w:rPr/>
        <w:t>els</w:t>
      </w:r>
      <w:r>
        <w:rPr>
          <w:spacing w:val="-2"/>
        </w:rPr>
        <w:t> </w:t>
      </w:r>
      <w:r>
        <w:rPr/>
        <w:t>preus</w:t>
      </w:r>
      <w:r>
        <w:rPr>
          <w:spacing w:val="-2"/>
        </w:rPr>
        <w:t> </w:t>
      </w:r>
      <w:r>
        <w:rPr/>
        <w:t>unitaris</w:t>
      </w:r>
      <w:r>
        <w:rPr>
          <w:spacing w:val="-3"/>
        </w:rPr>
        <w:t> </w:t>
      </w:r>
      <w:r>
        <w:rPr/>
        <w:t>màxims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licitació</w:t>
      </w:r>
      <w:r>
        <w:rPr>
          <w:spacing w:val="-3"/>
        </w:rPr>
        <w:t> </w:t>
      </w:r>
      <w:r>
        <w:rPr/>
        <w:t>que</w:t>
      </w:r>
      <w:r>
        <w:rPr>
          <w:spacing w:val="-2"/>
        </w:rPr>
        <w:t> </w:t>
      </w:r>
      <w:r>
        <w:rPr/>
        <w:t>s’han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millorar</w:t>
      </w:r>
      <w:r>
        <w:rPr>
          <w:spacing w:val="-3"/>
        </w:rPr>
        <w:t> </w:t>
      </w:r>
      <w:r>
        <w:rPr/>
        <w:t>són: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7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2"/>
        <w:gridCol w:w="1418"/>
        <w:gridCol w:w="1134"/>
        <w:gridCol w:w="1952"/>
      </w:tblGrid>
      <w:tr>
        <w:trPr>
          <w:trHeight w:val="297" w:hRule="atLeast"/>
        </w:trPr>
        <w:tc>
          <w:tcPr>
            <w:tcW w:w="2772" w:type="dxa"/>
          </w:tcPr>
          <w:p>
            <w:pPr>
              <w:pStyle w:val="TableParagraph"/>
              <w:spacing w:before="45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Concepte</w:t>
            </w:r>
          </w:p>
        </w:tc>
        <w:tc>
          <w:tcPr>
            <w:tcW w:w="1418" w:type="dxa"/>
          </w:tcPr>
          <w:p>
            <w:pPr>
              <w:pStyle w:val="TableParagraph"/>
              <w:spacing w:before="45"/>
              <w:ind w:right="71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1134" w:type="dxa"/>
          </w:tcPr>
          <w:p>
            <w:pPr>
              <w:pStyle w:val="TableParagraph"/>
              <w:spacing w:before="45"/>
              <w:ind w:left="191"/>
              <w:rPr>
                <w:sz w:val="18"/>
              </w:rPr>
            </w:pP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21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1952" w:type="dxa"/>
          </w:tcPr>
          <w:p>
            <w:pPr>
              <w:pStyle w:val="TableParagraph"/>
              <w:spacing w:before="45"/>
              <w:ind w:left="160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> inclòs</w:t>
            </w:r>
          </w:p>
        </w:tc>
      </w:tr>
      <w:tr>
        <w:trPr>
          <w:trHeight w:val="297" w:hRule="atLeast"/>
        </w:trPr>
        <w:tc>
          <w:tcPr>
            <w:tcW w:w="27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z w:val="18"/>
              </w:rPr>
              <w:t>Jaqueta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impermeable</w:t>
            </w:r>
          </w:p>
        </w:tc>
        <w:tc>
          <w:tcPr>
            <w:tcW w:w="1418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405,00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134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85,05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952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490,05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  <w:tr>
        <w:trPr>
          <w:trHeight w:val="297" w:hRule="atLeast"/>
        </w:trPr>
        <w:tc>
          <w:tcPr>
            <w:tcW w:w="27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z w:val="18"/>
              </w:rPr>
              <w:t>Sobrepantaló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impermeable</w:t>
            </w:r>
          </w:p>
        </w:tc>
        <w:tc>
          <w:tcPr>
            <w:tcW w:w="1418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115,00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134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24,15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952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139,15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</w:tr>
    </w:tbl>
    <w:p>
      <w:pPr>
        <w:pStyle w:val="BodyText"/>
      </w:pPr>
    </w:p>
    <w:p>
      <w:pPr>
        <w:pStyle w:val="BodyText"/>
        <w:ind w:left="142"/>
      </w:pPr>
      <w:r>
        <w:rPr>
          <w:spacing w:val="-2"/>
        </w:rPr>
        <w:t>Oferta:</w:t>
      </w:r>
    </w:p>
    <w:tbl>
      <w:tblPr>
        <w:tblW w:w="0" w:type="auto"/>
        <w:jc w:val="left"/>
        <w:tblInd w:w="163" w:type="dxa"/>
        <w:tblBorders>
          <w:top w:val="single" w:sz="12" w:space="0" w:color="D4D4D4"/>
          <w:left w:val="single" w:sz="12" w:space="0" w:color="D4D4D4"/>
          <w:bottom w:val="single" w:sz="12" w:space="0" w:color="D4D4D4"/>
          <w:right w:val="single" w:sz="12" w:space="0" w:color="D4D4D4"/>
          <w:insideH w:val="single" w:sz="12" w:space="0" w:color="D4D4D4"/>
          <w:insideV w:val="single" w:sz="12" w:space="0" w:color="D4D4D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6"/>
        <w:gridCol w:w="715"/>
        <w:gridCol w:w="1064"/>
        <w:gridCol w:w="599"/>
        <w:gridCol w:w="815"/>
        <w:gridCol w:w="1014"/>
        <w:gridCol w:w="1296"/>
        <w:gridCol w:w="1263"/>
        <w:gridCol w:w="1296"/>
        <w:gridCol w:w="116"/>
      </w:tblGrid>
      <w:tr>
        <w:trPr>
          <w:trHeight w:val="684" w:hRule="atLeast"/>
        </w:trPr>
        <w:tc>
          <w:tcPr>
            <w:tcW w:w="1346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3"/>
              <w:rPr>
                <w:sz w:val="18"/>
              </w:rPr>
            </w:pPr>
          </w:p>
          <w:p>
            <w:pPr>
              <w:pStyle w:val="TableParagraph"/>
              <w:ind w:left="29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Unitats</w:t>
            </w:r>
          </w:p>
        </w:tc>
        <w:tc>
          <w:tcPr>
            <w:tcW w:w="10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ind w:left="59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Preu</w:t>
            </w:r>
            <w:r>
              <w:rPr>
                <w:rFonts w:ascii="Calibri"/>
                <w:b/>
                <w:spacing w:val="-9"/>
                <w:w w:val="110"/>
                <w:sz w:val="18"/>
              </w:rPr>
              <w:t> </w:t>
            </w:r>
            <w:r>
              <w:rPr>
                <w:rFonts w:ascii="Calibri"/>
                <w:b/>
                <w:spacing w:val="-2"/>
                <w:w w:val="110"/>
                <w:sz w:val="18"/>
              </w:rPr>
              <w:t>unitari</w:t>
            </w:r>
          </w:p>
          <w:p>
            <w:pPr>
              <w:pStyle w:val="TableParagraph"/>
              <w:spacing w:line="240" w:lineRule="atLeast"/>
              <w:ind w:left="391" w:right="24" w:hanging="33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w w:val="110"/>
                <w:sz w:val="18"/>
              </w:rPr>
              <w:t>Ofert</w:t>
            </w:r>
            <w:r>
              <w:rPr>
                <w:rFonts w:ascii="Calibri"/>
                <w:b/>
                <w:spacing w:val="-12"/>
                <w:w w:val="110"/>
                <w:sz w:val="18"/>
              </w:rPr>
              <w:t> </w:t>
            </w:r>
            <w:r>
              <w:rPr>
                <w:rFonts w:ascii="Calibri"/>
                <w:b/>
                <w:w w:val="110"/>
                <w:sz w:val="18"/>
              </w:rPr>
              <w:t>sense </w:t>
            </w:r>
            <w:r>
              <w:rPr>
                <w:rFonts w:ascii="Calibri"/>
                <w:b/>
                <w:spacing w:val="-4"/>
                <w:w w:val="110"/>
                <w:sz w:val="18"/>
              </w:rPr>
              <w:t>IVA</w:t>
            </w:r>
          </w:p>
        </w:tc>
        <w:tc>
          <w:tcPr>
            <w:tcW w:w="5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3"/>
              <w:rPr>
                <w:sz w:val="18"/>
              </w:rPr>
            </w:pPr>
          </w:p>
          <w:p>
            <w:pPr>
              <w:pStyle w:val="TableParagraph"/>
              <w:ind w:left="26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w w:val="110"/>
                <w:sz w:val="18"/>
              </w:rPr>
              <w:t>IVA</w:t>
            </w:r>
            <w:r>
              <w:rPr>
                <w:rFonts w:ascii="Calibri"/>
                <w:b/>
                <w:spacing w:val="-7"/>
                <w:w w:val="110"/>
                <w:sz w:val="18"/>
              </w:rPr>
              <w:t> </w:t>
            </w:r>
            <w:r>
              <w:rPr>
                <w:rFonts w:ascii="Calibri"/>
                <w:b/>
                <w:spacing w:val="-12"/>
                <w:w w:val="110"/>
                <w:sz w:val="18"/>
              </w:rPr>
              <w:t>%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ind w:left="11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w w:val="110"/>
                <w:sz w:val="18"/>
              </w:rPr>
              <w:t>IVA</w:t>
            </w:r>
            <w:r>
              <w:rPr>
                <w:rFonts w:ascii="Calibri"/>
                <w:b/>
                <w:spacing w:val="-7"/>
                <w:w w:val="110"/>
                <w:sz w:val="18"/>
              </w:rPr>
              <w:t> </w:t>
            </w:r>
            <w:r>
              <w:rPr>
                <w:rFonts w:ascii="Calibri"/>
                <w:b/>
                <w:spacing w:val="-5"/>
                <w:w w:val="110"/>
                <w:sz w:val="18"/>
              </w:rPr>
              <w:t>del</w:t>
            </w:r>
          </w:p>
          <w:p>
            <w:pPr>
              <w:pStyle w:val="TableParagraph"/>
              <w:spacing w:line="240" w:lineRule="atLeast"/>
              <w:ind w:left="124" w:right="94" w:firstLine="8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4"/>
                <w:w w:val="110"/>
                <w:sz w:val="18"/>
              </w:rPr>
              <w:t>Preu </w:t>
            </w:r>
            <w:r>
              <w:rPr>
                <w:rFonts w:ascii="Calibri"/>
                <w:b/>
                <w:spacing w:val="-2"/>
                <w:w w:val="110"/>
                <w:sz w:val="18"/>
              </w:rPr>
              <w:t>Unitari</w:t>
            </w:r>
          </w:p>
        </w:tc>
        <w:tc>
          <w:tcPr>
            <w:tcW w:w="10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ind w:left="35" w:right="3"/>
              <w:jc w:val="center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4"/>
                <w:w w:val="110"/>
                <w:sz w:val="18"/>
              </w:rPr>
              <w:t>Preu</w:t>
            </w:r>
          </w:p>
          <w:p>
            <w:pPr>
              <w:pStyle w:val="TableParagraph"/>
              <w:spacing w:line="240" w:lineRule="atLeast"/>
              <w:ind w:left="35"/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w w:val="110"/>
                <w:sz w:val="18"/>
              </w:rPr>
              <w:t>Unitari</w:t>
            </w:r>
            <w:r>
              <w:rPr>
                <w:rFonts w:ascii="Calibri" w:hAnsi="Calibri"/>
                <w:b/>
                <w:spacing w:val="-12"/>
                <w:w w:val="110"/>
                <w:sz w:val="18"/>
              </w:rPr>
              <w:t> </w:t>
            </w:r>
            <w:r>
              <w:rPr>
                <w:rFonts w:ascii="Calibri" w:hAnsi="Calibri"/>
                <w:b/>
                <w:w w:val="110"/>
                <w:sz w:val="18"/>
              </w:rPr>
              <w:t>IVA </w:t>
            </w:r>
            <w:r>
              <w:rPr>
                <w:rFonts w:ascii="Calibri" w:hAnsi="Calibri"/>
                <w:b/>
                <w:spacing w:val="-2"/>
                <w:w w:val="110"/>
                <w:sz w:val="18"/>
              </w:rPr>
              <w:t>inclòs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59" w:lineRule="auto" w:before="121"/>
              <w:ind w:left="239" w:hanging="167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Import</w:t>
            </w:r>
            <w:r>
              <w:rPr>
                <w:rFonts w:ascii="Calibri"/>
                <w:b/>
                <w:spacing w:val="-10"/>
                <w:w w:val="110"/>
                <w:sz w:val="18"/>
              </w:rPr>
              <w:t> </w:t>
            </w:r>
            <w:r>
              <w:rPr>
                <w:rFonts w:ascii="Calibri"/>
                <w:b/>
                <w:spacing w:val="-2"/>
                <w:w w:val="110"/>
                <w:sz w:val="18"/>
              </w:rPr>
              <w:t>TOTAL </w:t>
            </w:r>
            <w:r>
              <w:rPr>
                <w:rFonts w:ascii="Calibri"/>
                <w:b/>
                <w:w w:val="110"/>
                <w:sz w:val="18"/>
              </w:rPr>
              <w:t>sense IVA</w:t>
            </w: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59" w:lineRule="auto" w:before="121"/>
              <w:ind w:left="306" w:right="42" w:hanging="250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Import</w:t>
            </w:r>
            <w:r>
              <w:rPr>
                <w:rFonts w:ascii="Calibri"/>
                <w:b/>
                <w:spacing w:val="-10"/>
                <w:w w:val="110"/>
                <w:sz w:val="18"/>
              </w:rPr>
              <w:t> </w:t>
            </w:r>
            <w:r>
              <w:rPr>
                <w:rFonts w:ascii="Calibri"/>
                <w:b/>
                <w:spacing w:val="-2"/>
                <w:w w:val="110"/>
                <w:sz w:val="18"/>
              </w:rPr>
              <w:t>TOTAL </w:t>
            </w:r>
            <w:r>
              <w:rPr>
                <w:rFonts w:ascii="Calibri"/>
                <w:b/>
                <w:w w:val="110"/>
                <w:sz w:val="18"/>
              </w:rPr>
              <w:t>de l'IVA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59" w:lineRule="auto" w:before="121"/>
              <w:ind w:left="239" w:hanging="167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pacing w:val="-2"/>
                <w:w w:val="110"/>
                <w:sz w:val="18"/>
              </w:rPr>
              <w:t>Import</w:t>
            </w:r>
            <w:r>
              <w:rPr>
                <w:rFonts w:ascii="Calibri" w:hAnsi="Calibri"/>
                <w:b/>
                <w:spacing w:val="-10"/>
                <w:w w:val="110"/>
                <w:sz w:val="18"/>
              </w:rPr>
              <w:t> </w:t>
            </w:r>
            <w:r>
              <w:rPr>
                <w:rFonts w:ascii="Calibri" w:hAnsi="Calibri"/>
                <w:b/>
                <w:spacing w:val="-2"/>
                <w:w w:val="110"/>
                <w:sz w:val="18"/>
              </w:rPr>
              <w:t>TOTAL </w:t>
            </w:r>
            <w:r>
              <w:rPr>
                <w:rFonts w:ascii="Calibri" w:hAnsi="Calibri"/>
                <w:b/>
                <w:w w:val="110"/>
                <w:sz w:val="18"/>
              </w:rPr>
              <w:t>IVA inclòs</w:t>
            </w:r>
          </w:p>
        </w:tc>
        <w:tc>
          <w:tcPr>
            <w:tcW w:w="116" w:type="dxa"/>
            <w:tcBorders>
              <w:top w:val="single" w:sz="6" w:space="0" w:color="D4D4D4"/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9" w:hRule="atLeast"/>
        </w:trPr>
        <w:tc>
          <w:tcPr>
            <w:tcW w:w="13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05" w:lineRule="exact"/>
              <w:ind w:left="4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Jaqueta</w:t>
            </w:r>
          </w:p>
          <w:p>
            <w:pPr>
              <w:pStyle w:val="TableParagraph"/>
              <w:spacing w:line="186" w:lineRule="exact" w:before="18"/>
              <w:ind w:left="4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impermeable</w:t>
            </w:r>
          </w:p>
        </w:tc>
        <w:tc>
          <w:tcPr>
            <w:tcW w:w="7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ind w:left="29" w:right="12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4"/>
                <w:w w:val="110"/>
                <w:sz w:val="18"/>
              </w:rPr>
              <w:t>60,00</w:t>
            </w:r>
          </w:p>
        </w:tc>
        <w:tc>
          <w:tcPr>
            <w:tcW w:w="10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spacing w:before="104"/>
              <w:ind w:left="26" w:right="3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w w:val="110"/>
                <w:sz w:val="18"/>
              </w:rPr>
              <w:t>21%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0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16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6" w:hRule="atLeast"/>
        </w:trPr>
        <w:tc>
          <w:tcPr>
            <w:tcW w:w="13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ind w:left="43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pacing w:val="-2"/>
                <w:w w:val="110"/>
                <w:sz w:val="18"/>
              </w:rPr>
              <w:t>Sobrepantaló</w:t>
            </w:r>
          </w:p>
          <w:p>
            <w:pPr>
              <w:pStyle w:val="TableParagraph"/>
              <w:spacing w:line="186" w:lineRule="exact" w:before="19"/>
              <w:ind w:left="43"/>
              <w:rPr>
                <w:rFonts w:ascii="Calibri"/>
                <w:b/>
                <w:sz w:val="18"/>
              </w:rPr>
            </w:pPr>
            <w:r>
              <w:rPr>
                <w:rFonts w:ascii="Calibri"/>
                <w:b/>
                <w:spacing w:val="-2"/>
                <w:w w:val="110"/>
                <w:sz w:val="18"/>
              </w:rPr>
              <w:t>impermeable</w:t>
            </w:r>
          </w:p>
        </w:tc>
        <w:tc>
          <w:tcPr>
            <w:tcW w:w="7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1"/>
              <w:ind w:left="29" w:right="12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4"/>
                <w:w w:val="110"/>
                <w:sz w:val="18"/>
              </w:rPr>
              <w:t>60,00</w:t>
            </w:r>
          </w:p>
        </w:tc>
        <w:tc>
          <w:tcPr>
            <w:tcW w:w="10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spacing w:before="121"/>
              <w:ind w:left="26" w:right="3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w w:val="110"/>
                <w:sz w:val="18"/>
              </w:rPr>
              <w:t>21%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1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0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1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1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1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21"/>
              <w:ind w:right="42"/>
              <w:jc w:val="right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-</w:t>
            </w:r>
            <w:r>
              <w:rPr>
                <w:rFonts w:ascii="Calibri" w:hAnsi="Calibri"/>
                <w:spacing w:val="32"/>
                <w:w w:val="110"/>
                <w:sz w:val="18"/>
              </w:rPr>
              <w:t>  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>€</w:t>
            </w:r>
          </w:p>
        </w:tc>
        <w:tc>
          <w:tcPr>
            <w:tcW w:w="116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23" w:hRule="atLeast"/>
        </w:trPr>
        <w:tc>
          <w:tcPr>
            <w:tcW w:w="1346" w:type="dxa"/>
            <w:tcBorders>
              <w:top w:val="single" w:sz="12" w:space="0" w:color="000000"/>
              <w:left w:val="single" w:sz="8" w:space="0" w:color="D4D4D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5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4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5" w:type="dxa"/>
            <w:tcBorders>
              <w:top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196" w:lineRule="exact" w:before="7"/>
              <w:ind w:left="206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pacing w:val="-2"/>
                <w:w w:val="115"/>
                <w:sz w:val="19"/>
              </w:rPr>
              <w:t>TOTAL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spacing w:line="196" w:lineRule="exact" w:before="7"/>
              <w:ind w:right="67"/>
              <w:jc w:val="right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w w:val="115"/>
                <w:sz w:val="19"/>
              </w:rPr>
              <w:t>-</w:t>
            </w:r>
            <w:r>
              <w:rPr>
                <w:rFonts w:ascii="Calibri" w:hAnsi="Calibri"/>
                <w:b/>
                <w:spacing w:val="24"/>
                <w:w w:val="115"/>
                <w:sz w:val="19"/>
              </w:rPr>
              <w:t>  </w:t>
            </w:r>
            <w:r>
              <w:rPr>
                <w:rFonts w:ascii="Calibri" w:hAnsi="Calibri"/>
                <w:b/>
                <w:spacing w:val="-10"/>
                <w:w w:val="115"/>
                <w:sz w:val="19"/>
              </w:rPr>
              <w:t>€</w:t>
            </w:r>
          </w:p>
        </w:tc>
        <w:tc>
          <w:tcPr>
            <w:tcW w:w="1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spacing w:line="196" w:lineRule="exact" w:before="7"/>
              <w:ind w:right="50"/>
              <w:jc w:val="right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w w:val="115"/>
                <w:sz w:val="19"/>
              </w:rPr>
              <w:t>-</w:t>
            </w:r>
            <w:r>
              <w:rPr>
                <w:rFonts w:ascii="Calibri" w:hAnsi="Calibri"/>
                <w:b/>
                <w:spacing w:val="24"/>
                <w:w w:val="115"/>
                <w:sz w:val="19"/>
              </w:rPr>
              <w:t>  </w:t>
            </w:r>
            <w:r>
              <w:rPr>
                <w:rFonts w:ascii="Calibri" w:hAnsi="Calibri"/>
                <w:b/>
                <w:spacing w:val="-10"/>
                <w:w w:val="115"/>
                <w:sz w:val="19"/>
              </w:rPr>
              <w:t>€</w:t>
            </w:r>
          </w:p>
        </w:tc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>
            <w:pPr>
              <w:pStyle w:val="TableParagraph"/>
              <w:spacing w:line="196" w:lineRule="exact" w:before="7"/>
              <w:ind w:right="67"/>
              <w:jc w:val="right"/>
              <w:rPr>
                <w:rFonts w:ascii="Calibri" w:hAnsi="Calibri"/>
                <w:b/>
                <w:sz w:val="19"/>
              </w:rPr>
            </w:pPr>
            <w:r>
              <w:rPr>
                <w:rFonts w:ascii="Calibri" w:hAnsi="Calibri"/>
                <w:b/>
                <w:w w:val="115"/>
                <w:sz w:val="19"/>
              </w:rPr>
              <w:t>-</w:t>
            </w:r>
            <w:r>
              <w:rPr>
                <w:rFonts w:ascii="Calibri" w:hAnsi="Calibri"/>
                <w:b/>
                <w:spacing w:val="24"/>
                <w:w w:val="115"/>
                <w:sz w:val="19"/>
              </w:rPr>
              <w:t>  </w:t>
            </w:r>
            <w:r>
              <w:rPr>
                <w:rFonts w:ascii="Calibri" w:hAnsi="Calibri"/>
                <w:b/>
                <w:spacing w:val="-10"/>
                <w:w w:val="115"/>
                <w:sz w:val="19"/>
              </w:rPr>
              <w:t>€</w:t>
            </w:r>
          </w:p>
        </w:tc>
        <w:tc>
          <w:tcPr>
            <w:tcW w:w="116" w:type="dxa"/>
            <w:tcBorders>
              <w:left w:val="single" w:sz="12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9" w:hRule="atLeast"/>
        </w:trPr>
        <w:tc>
          <w:tcPr>
            <w:tcW w:w="1346" w:type="dxa"/>
            <w:tcBorders>
              <w:left w:val="single" w:sz="8" w:space="0" w:color="D4D4D4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64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9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815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4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96" w:type="dxa"/>
            <w:tcBorders>
              <w:top w:val="single" w:sz="12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63" w:type="dxa"/>
            <w:tcBorders>
              <w:top w:val="single" w:sz="12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296" w:type="dxa"/>
            <w:tcBorders>
              <w:top w:val="single" w:sz="12" w:space="0" w:color="000000"/>
            </w:tcBorders>
            <w:shd w:val="clear" w:color="auto" w:fill="F2F2F2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16" w:type="dxa"/>
            <w:shd w:val="clear" w:color="auto" w:fill="F2F2F2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2" w:top="1680" w:bottom="780" w:left="1559" w:right="566"/>
          <w:pgNumType w:start="43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6"/>
      </w:pPr>
    </w:p>
    <w:p>
      <w:pPr>
        <w:pStyle w:val="Heading1"/>
        <w:spacing w:before="0"/>
        <w:rPr>
          <w:u w:val="none"/>
        </w:rPr>
      </w:pPr>
      <w:r>
        <w:rPr>
          <w:spacing w:val="-2"/>
          <w:u w:val="single"/>
        </w:rPr>
        <w:t>Criteri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2.-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Millora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termini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de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lliurament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42" w:right="1130"/>
      </w:pPr>
      <w:r>
        <w:rPr/>
        <w:t>Es</w:t>
      </w:r>
      <w:r>
        <w:rPr>
          <w:spacing w:val="-5"/>
        </w:rPr>
        <w:t> </w:t>
      </w:r>
      <w:r>
        <w:rPr/>
        <w:t>valorarà</w:t>
      </w:r>
      <w:r>
        <w:rPr>
          <w:spacing w:val="-6"/>
        </w:rPr>
        <w:t> </w:t>
      </w:r>
      <w:r>
        <w:rPr/>
        <w:t>la</w:t>
      </w:r>
      <w:r>
        <w:rPr>
          <w:spacing w:val="-5"/>
        </w:rPr>
        <w:t> </w:t>
      </w:r>
      <w:r>
        <w:rPr/>
        <w:t>millora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6"/>
        </w:rPr>
        <w:t> </w:t>
      </w:r>
      <w:r>
        <w:rPr/>
        <w:t>termini</w:t>
      </w:r>
      <w:r>
        <w:rPr>
          <w:spacing w:val="-5"/>
        </w:rPr>
        <w:t> </w:t>
      </w:r>
      <w:r>
        <w:rPr/>
        <w:t>màxim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lliurament</w:t>
      </w:r>
      <w:r>
        <w:rPr>
          <w:spacing w:val="-5"/>
        </w:rPr>
        <w:t> </w:t>
      </w:r>
      <w:r>
        <w:rPr/>
        <w:t>dels</w:t>
      </w:r>
      <w:r>
        <w:rPr>
          <w:spacing w:val="-5"/>
        </w:rPr>
        <w:t> </w:t>
      </w:r>
      <w:r>
        <w:rPr/>
        <w:t>articles,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d’acord</w:t>
      </w:r>
      <w:r>
        <w:rPr>
          <w:spacing w:val="-5"/>
        </w:rPr>
        <w:t> </w:t>
      </w:r>
      <w:r>
        <w:rPr/>
        <w:t>amb</w:t>
      </w:r>
      <w:r>
        <w:rPr>
          <w:spacing w:val="-5"/>
        </w:rPr>
        <w:t> </w:t>
      </w:r>
      <w:r>
        <w:rPr/>
        <w:t>l’indicat</w:t>
      </w:r>
      <w:r>
        <w:rPr>
          <w:spacing w:val="-6"/>
        </w:rPr>
        <w:t> </w:t>
      </w:r>
      <w:r>
        <w:rPr/>
        <w:t>al plec de prescripcions tècniques, serà de màxim 2 mesos.</w:t>
      </w:r>
    </w:p>
    <w:p>
      <w:pPr>
        <w:pStyle w:val="BodyText"/>
      </w:pPr>
    </w:p>
    <w:p>
      <w:pPr>
        <w:spacing w:before="0"/>
        <w:ind w:left="142" w:right="0" w:firstLine="0"/>
        <w:jc w:val="left"/>
        <w:rPr>
          <w:rFonts w:ascii="Arial" w:hAnsi="Arial"/>
          <w:i/>
          <w:sz w:val="20"/>
        </w:rPr>
      </w:pPr>
      <w:r>
        <w:rPr>
          <w:spacing w:val="-2"/>
          <w:sz w:val="20"/>
        </w:rPr>
        <w:t>Termini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lliurament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ofert</w:t>
      </w:r>
      <w:r>
        <w:rPr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(si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pacing w:val="-2"/>
          <w:sz w:val="20"/>
        </w:rPr>
        <w:t>no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es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selecciona</w:t>
      </w:r>
      <w:r>
        <w:rPr>
          <w:rFonts w:ascii="Arial" w:hAnsi="Arial"/>
          <w:i/>
          <w:spacing w:val="-6"/>
          <w:sz w:val="20"/>
        </w:rPr>
        <w:t> </w:t>
      </w:r>
      <w:r>
        <w:rPr>
          <w:rFonts w:ascii="Arial" w:hAnsi="Arial"/>
          <w:i/>
          <w:spacing w:val="-2"/>
          <w:sz w:val="20"/>
        </w:rPr>
        <w:t>cap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opció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pacing w:val="-2"/>
          <w:sz w:val="20"/>
        </w:rPr>
        <w:t>s’entendrà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pacing w:val="-2"/>
          <w:sz w:val="20"/>
        </w:rPr>
        <w:t>que</w:t>
      </w:r>
      <w:r>
        <w:rPr>
          <w:rFonts w:ascii="Arial" w:hAnsi="Arial"/>
          <w:i/>
          <w:spacing w:val="-5"/>
          <w:sz w:val="20"/>
        </w:rPr>
        <w:t> </w:t>
      </w:r>
      <w:r>
        <w:rPr>
          <w:rFonts w:ascii="Arial" w:hAnsi="Arial"/>
          <w:i/>
          <w:spacing w:val="-2"/>
          <w:sz w:val="20"/>
        </w:rPr>
        <w:t>no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ofereix</w:t>
      </w:r>
      <w:r>
        <w:rPr>
          <w:rFonts w:ascii="Arial" w:hAnsi="Arial"/>
          <w:i/>
          <w:spacing w:val="-4"/>
          <w:sz w:val="20"/>
        </w:rPr>
        <w:t> </w:t>
      </w:r>
      <w:r>
        <w:rPr>
          <w:rFonts w:ascii="Arial" w:hAnsi="Arial"/>
          <w:i/>
          <w:spacing w:val="-2"/>
          <w:sz w:val="20"/>
        </w:rPr>
        <w:t>millora)</w:t>
      </w:r>
    </w:p>
    <w:p>
      <w:pPr>
        <w:pStyle w:val="BodyText"/>
        <w:spacing w:before="10"/>
        <w:rPr>
          <w:rFonts w:ascii="Arial"/>
          <w:i/>
        </w:rPr>
      </w:pPr>
    </w:p>
    <w:p>
      <w:pPr>
        <w:pStyle w:val="BodyText"/>
        <w:tabs>
          <w:tab w:pos="4811" w:val="left" w:leader="dot"/>
          <w:tab w:pos="4853" w:val="left" w:leader="dot"/>
        </w:tabs>
        <w:spacing w:line="261" w:lineRule="auto"/>
        <w:ind w:left="1244" w:right="421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1491615</wp:posOffset>
                </wp:positionH>
                <wp:positionV relativeFrom="paragraph">
                  <wp:posOffset>-6341</wp:posOffset>
                </wp:positionV>
                <wp:extent cx="293370" cy="790575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293370" cy="79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1"/>
                            </w:tblGrid>
                            <w:tr>
                              <w:trPr>
                                <w:trHeight w:val="229" w:hRule="atLeast"/>
                              </w:trPr>
                              <w:tc>
                                <w:tcPr>
                                  <w:tcW w:w="331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0C0C0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72" w:val="left" w:leader="none"/>
                                    </w:tabs>
                                    <w:spacing w:line="210" w:lineRule="exact"/>
                                    <w:ind w:left="4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9" w:hRule="atLeast"/>
                              </w:trPr>
                              <w:tc>
                                <w:tcPr>
                                  <w:tcW w:w="33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C0C0C0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72" w:val="left" w:leader="none"/>
                                    </w:tabs>
                                    <w:spacing w:line="210" w:lineRule="exact"/>
                                    <w:ind w:left="4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9" w:hRule="atLeast"/>
                              </w:trPr>
                              <w:tc>
                                <w:tcPr>
                                  <w:tcW w:w="33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C0C0C0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72" w:val="left" w:leader="none"/>
                                    </w:tabs>
                                    <w:spacing w:line="210" w:lineRule="exact"/>
                                    <w:ind w:left="4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9" w:hRule="atLeast"/>
                              </w:trPr>
                              <w:tc>
                                <w:tcPr>
                                  <w:tcW w:w="33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C0C0C0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72" w:val="left" w:leader="none"/>
                                    </w:tabs>
                                    <w:spacing w:line="210" w:lineRule="exact"/>
                                    <w:ind w:left="4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9" w:hRule="atLeast"/>
                              </w:trPr>
                              <w:tc>
                                <w:tcPr>
                                  <w:tcW w:w="331" w:type="dxa"/>
                                  <w:tcBorders>
                                    <w:top w:val="single" w:sz="8" w:space="0" w:color="000000"/>
                                  </w:tcBorders>
                                  <w:shd w:val="clear" w:color="auto" w:fill="C0C0C0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72" w:val="left" w:leader="none"/>
                                    </w:tabs>
                                    <w:spacing w:line="210" w:lineRule="exact"/>
                                    <w:ind w:left="4" w:right="-1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7.450005pt;margin-top:-.49935pt;width:23.1pt;height:62.25pt;mso-position-horizontal-relative:page;mso-position-vertical-relative:paragraph;z-index:15729152" type="#_x0000_t202" id="docshape2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1"/>
                      </w:tblGrid>
                      <w:tr>
                        <w:trPr>
                          <w:trHeight w:val="229" w:hRule="atLeast"/>
                        </w:trPr>
                        <w:tc>
                          <w:tcPr>
                            <w:tcW w:w="331" w:type="dxa"/>
                            <w:tcBorders>
                              <w:bottom w:val="single" w:sz="8" w:space="0" w:color="000000"/>
                            </w:tcBorders>
                            <w:shd w:val="clear" w:color="auto" w:fill="C0C0C0"/>
                          </w:tcPr>
                          <w:p>
                            <w:pPr>
                              <w:pStyle w:val="TableParagraph"/>
                              <w:tabs>
                                <w:tab w:pos="272" w:val="left" w:leader="none"/>
                              </w:tabs>
                              <w:spacing w:line="210" w:lineRule="exact"/>
                              <w:ind w:left="4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229" w:hRule="atLeast"/>
                        </w:trPr>
                        <w:tc>
                          <w:tcPr>
                            <w:tcW w:w="33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val="clear" w:color="auto" w:fill="C0C0C0"/>
                          </w:tcPr>
                          <w:p>
                            <w:pPr>
                              <w:pStyle w:val="TableParagraph"/>
                              <w:tabs>
                                <w:tab w:pos="272" w:val="left" w:leader="none"/>
                              </w:tabs>
                              <w:spacing w:line="210" w:lineRule="exact"/>
                              <w:ind w:left="4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229" w:hRule="atLeast"/>
                        </w:trPr>
                        <w:tc>
                          <w:tcPr>
                            <w:tcW w:w="33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val="clear" w:color="auto" w:fill="C0C0C0"/>
                          </w:tcPr>
                          <w:p>
                            <w:pPr>
                              <w:pStyle w:val="TableParagraph"/>
                              <w:tabs>
                                <w:tab w:pos="272" w:val="left" w:leader="none"/>
                              </w:tabs>
                              <w:spacing w:line="210" w:lineRule="exact"/>
                              <w:ind w:left="4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229" w:hRule="atLeast"/>
                        </w:trPr>
                        <w:tc>
                          <w:tcPr>
                            <w:tcW w:w="33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shd w:val="clear" w:color="auto" w:fill="C0C0C0"/>
                          </w:tcPr>
                          <w:p>
                            <w:pPr>
                              <w:pStyle w:val="TableParagraph"/>
                              <w:tabs>
                                <w:tab w:pos="272" w:val="left" w:leader="none"/>
                              </w:tabs>
                              <w:spacing w:line="210" w:lineRule="exact"/>
                              <w:ind w:left="4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  <w:tr>
                        <w:trPr>
                          <w:trHeight w:val="229" w:hRule="atLeast"/>
                        </w:trPr>
                        <w:tc>
                          <w:tcPr>
                            <w:tcW w:w="331" w:type="dxa"/>
                            <w:tcBorders>
                              <w:top w:val="single" w:sz="8" w:space="0" w:color="000000"/>
                            </w:tcBorders>
                            <w:shd w:val="clear" w:color="auto" w:fill="C0C0C0"/>
                          </w:tcPr>
                          <w:p>
                            <w:pPr>
                              <w:pStyle w:val="TableParagraph"/>
                              <w:tabs>
                                <w:tab w:pos="272" w:val="left" w:leader="none"/>
                              </w:tabs>
                              <w:spacing w:line="210" w:lineRule="exact"/>
                              <w:ind w:left="4" w:right="-1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No ofereix millora</w:t>
        <w:tab/>
        <w:tab/>
        <w:t>0 punts Màxim</w:t>
      </w:r>
      <w:r>
        <w:rPr>
          <w:spacing w:val="-13"/>
        </w:rPr>
        <w:t> </w:t>
      </w:r>
      <w:r>
        <w:rPr/>
        <w:t>45</w:t>
      </w:r>
      <w:r>
        <w:rPr>
          <w:spacing w:val="-10"/>
        </w:rPr>
        <w:t> </w:t>
      </w:r>
      <w:r>
        <w:rPr>
          <w:spacing w:val="-4"/>
        </w:rPr>
        <w:t>dies</w:t>
      </w:r>
      <w:r>
        <w:rPr/>
        <w:tab/>
        <w:t>10</w:t>
      </w:r>
      <w:r>
        <w:rPr>
          <w:spacing w:val="-7"/>
        </w:rPr>
        <w:t> </w:t>
      </w:r>
      <w:r>
        <w:rPr>
          <w:spacing w:val="-4"/>
        </w:rPr>
        <w:t>punts</w:t>
      </w:r>
    </w:p>
    <w:p>
      <w:pPr>
        <w:pStyle w:val="BodyText"/>
        <w:tabs>
          <w:tab w:pos="4811" w:val="left" w:leader="dot"/>
        </w:tabs>
        <w:spacing w:line="229" w:lineRule="exact"/>
        <w:ind w:left="1244"/>
      </w:pPr>
      <w:r>
        <w:rPr/>
        <w:t>Màxim</w:t>
      </w:r>
      <w:r>
        <w:rPr>
          <w:spacing w:val="-13"/>
        </w:rPr>
        <w:t> </w:t>
      </w:r>
      <w:r>
        <w:rPr/>
        <w:t>30</w:t>
      </w:r>
      <w:r>
        <w:rPr>
          <w:spacing w:val="-10"/>
        </w:rPr>
        <w:t> </w:t>
      </w:r>
      <w:r>
        <w:rPr>
          <w:spacing w:val="-4"/>
        </w:rPr>
        <w:t>dies</w:t>
      </w:r>
      <w:r>
        <w:rPr/>
        <w:tab/>
        <w:t>15</w:t>
      </w:r>
      <w:r>
        <w:rPr>
          <w:spacing w:val="-7"/>
        </w:rPr>
        <w:t> </w:t>
      </w:r>
      <w:r>
        <w:rPr>
          <w:spacing w:val="-2"/>
        </w:rPr>
        <w:t>punts</w:t>
      </w:r>
    </w:p>
    <w:p>
      <w:pPr>
        <w:pStyle w:val="BodyText"/>
        <w:tabs>
          <w:tab w:pos="4811" w:val="left" w:leader="dot"/>
        </w:tabs>
        <w:spacing w:before="20"/>
        <w:ind w:left="1244"/>
      </w:pPr>
      <w:r>
        <w:rPr/>
        <w:t>Màxim</w:t>
      </w:r>
      <w:r>
        <w:rPr>
          <w:spacing w:val="-13"/>
        </w:rPr>
        <w:t> </w:t>
      </w:r>
      <w:r>
        <w:rPr/>
        <w:t>15</w:t>
      </w:r>
      <w:r>
        <w:rPr>
          <w:spacing w:val="-10"/>
        </w:rPr>
        <w:t> </w:t>
      </w:r>
      <w:r>
        <w:rPr>
          <w:spacing w:val="-4"/>
        </w:rPr>
        <w:t>dies</w:t>
      </w:r>
      <w:r>
        <w:rPr/>
        <w:tab/>
        <w:t>20</w:t>
      </w:r>
      <w:r>
        <w:rPr>
          <w:spacing w:val="-7"/>
        </w:rPr>
        <w:t> </w:t>
      </w:r>
      <w:r>
        <w:rPr>
          <w:spacing w:val="-2"/>
        </w:rPr>
        <w:t>punts</w:t>
      </w:r>
    </w:p>
    <w:p>
      <w:pPr>
        <w:pStyle w:val="BodyText"/>
        <w:tabs>
          <w:tab w:pos="4809" w:val="left" w:leader="dot"/>
        </w:tabs>
        <w:spacing w:before="20"/>
        <w:ind w:left="1244"/>
      </w:pPr>
      <w:r>
        <w:rPr/>
        <w:t>Màxim</w:t>
      </w:r>
      <w:r>
        <w:rPr>
          <w:spacing w:val="-11"/>
        </w:rPr>
        <w:t> </w:t>
      </w:r>
      <w:r>
        <w:rPr/>
        <w:t>7</w:t>
      </w:r>
      <w:r>
        <w:rPr>
          <w:spacing w:val="-9"/>
        </w:rPr>
        <w:t> </w:t>
      </w:r>
      <w:r>
        <w:rPr>
          <w:spacing w:val="-4"/>
        </w:rPr>
        <w:t>dies</w:t>
      </w:r>
      <w:r>
        <w:rPr/>
        <w:tab/>
        <w:t>25</w:t>
      </w:r>
      <w:r>
        <w:rPr>
          <w:spacing w:val="-7"/>
        </w:rPr>
        <w:t> </w:t>
      </w:r>
      <w:r>
        <w:rPr>
          <w:spacing w:val="-2"/>
        </w:rPr>
        <w:t>punts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</w:pPr>
    </w:p>
    <w:p>
      <w:pPr>
        <w:pStyle w:val="BodyText"/>
        <w:spacing w:line="720" w:lineRule="auto"/>
        <w:ind w:left="142" w:right="6846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data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4"/>
        </w:rPr>
        <w:t> </w:t>
      </w:r>
      <w:r>
        <w:rPr/>
        <w:t>electrònica </w:t>
      </w:r>
      <w:r>
        <w:rPr>
          <w:spacing w:val="-2"/>
        </w:rPr>
        <w:t>Signat,</w:t>
      </w:r>
    </w:p>
    <w:sectPr>
      <w:pgSz w:w="11910" w:h="16840"/>
      <w:pgMar w:header="650" w:footer="592" w:top="1680" w:bottom="780" w:left="1559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8406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3241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457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43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3190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43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83552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42"/>
      <w:outlineLvl w:val="1"/>
    </w:pPr>
    <w:rPr>
      <w:rFonts w:ascii="Arial" w:hAnsi="Arial" w:eastAsia="Arial" w:cs="Arial"/>
      <w:b/>
      <w:bCs/>
      <w:sz w:val="20"/>
      <w:szCs w:val="20"/>
      <w:u w:val="single" w:color="00000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2025-06-03T11:45:46Z</dcterms:created>
  <dcterms:modified xsi:type="dcterms:W3CDTF">2025-06-03T11:45:46Z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LastSaved">
    <vt:filetime>2025-06-03T00:00:00Z</vt:filetime>
  </property>
  <property fmtid="{D5CDD505-2E9C-101B-9397-08002B2CF9AE}" pid="4" name="Producer">
    <vt:lpwstr>iLovePDF</vt:lpwstr>
  </property>
</Properties>
</file>