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spacing w:before="83"/>
      </w:pPr>
      <w:r>
        <w:rPr>
          <w:u w:val="single"/>
        </w:rPr>
        <w:t>ANNEX</w:t>
      </w:r>
      <w:r>
        <w:rPr>
          <w:spacing w:val="42"/>
          <w:u w:val="single"/>
        </w:rPr>
        <w:t> </w:t>
      </w:r>
      <w:r>
        <w:rPr>
          <w:spacing w:val="-10"/>
          <w:u w:val="single"/>
        </w:rPr>
        <w:t>4</w:t>
      </w:r>
    </w:p>
    <w:p>
      <w:pPr>
        <w:pStyle w:val="BodyText"/>
        <w:spacing w:before="206"/>
        <w:rPr>
          <w:rFonts w:ascii="Arial"/>
          <w:b/>
          <w:sz w:val="22"/>
        </w:rPr>
      </w:pPr>
    </w:p>
    <w:p>
      <w:pPr>
        <w:pStyle w:val="Title"/>
      </w:pPr>
      <w:r>
        <w:rPr/>
        <w:t>MODEL</w:t>
      </w:r>
      <w:r>
        <w:rPr>
          <w:spacing w:val="-6"/>
        </w:rPr>
        <w:t> </w:t>
      </w:r>
      <w:r>
        <w:rPr/>
        <w:t>D’OFERTA</w:t>
      </w:r>
      <w:r>
        <w:rPr>
          <w:spacing w:val="-4"/>
        </w:rPr>
        <w:t> </w:t>
      </w:r>
      <w:r>
        <w:rPr/>
        <w:t>ECONÒMICA</w:t>
      </w:r>
      <w:r>
        <w:rPr>
          <w:spacing w:val="-4"/>
        </w:rPr>
        <w:t> </w:t>
      </w:r>
      <w:r>
        <w:rPr/>
        <w:t>PER</w:t>
      </w:r>
      <w:r>
        <w:rPr>
          <w:spacing w:val="-4"/>
        </w:rPr>
        <w:t> LOTS</w:t>
      </w:r>
    </w:p>
    <w:p>
      <w:pPr>
        <w:pStyle w:val="BodyText"/>
        <w:spacing w:before="207"/>
        <w:rPr>
          <w:rFonts w:ascii="Arial"/>
          <w:b/>
          <w:sz w:val="22"/>
        </w:rPr>
      </w:pPr>
    </w:p>
    <w:p>
      <w:pPr>
        <w:pStyle w:val="BodyText"/>
        <w:tabs>
          <w:tab w:pos="1985" w:val="left" w:leader="none"/>
          <w:tab w:pos="3403" w:val="left" w:leader="none"/>
          <w:tab w:pos="5530" w:val="left" w:leader="none"/>
        </w:tabs>
        <w:ind w:left="568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985" w:val="left" w:leader="none"/>
          <w:tab w:pos="6239" w:val="left" w:leader="none"/>
          <w:tab w:pos="7657" w:val="left" w:leader="none"/>
          <w:tab w:pos="8367" w:val="left" w:leader="none"/>
        </w:tabs>
        <w:ind w:left="568" w:right="706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tabs>
          <w:tab w:pos="5530" w:val="left" w:leader="none"/>
        </w:tabs>
        <w:spacing w:before="0"/>
        <w:ind w:left="568" w:right="704" w:firstLine="0"/>
        <w:jc w:val="both"/>
        <w:rPr>
          <w:sz w:val="20"/>
        </w:rPr>
      </w:pPr>
      <w:r>
        <w:rPr>
          <w:sz w:val="20"/>
        </w:rPr>
        <w:t>, assabentat de l’anunci publicat en data</w:t>
        <w:tab/>
        <w:t>en el perfil del contractant de l’Ajuntament de Sabadell i de les condicions i requisits que s’exigeixen per a l’adjudicació del contracte anomenat </w:t>
      </w:r>
      <w:r>
        <w:rPr>
          <w:rFonts w:ascii="Arial" w:hAnsi="Arial"/>
          <w:b/>
          <w:sz w:val="20"/>
          <w:u w:val="single"/>
        </w:rPr>
        <w:t>“SUBMINISTRAMENT DE PRODUCTES DE FERRETERIA I</w:t>
      </w:r>
      <w:r>
        <w:rPr>
          <w:rFonts w:ascii="Arial" w:hAnsi="Arial"/>
          <w:b/>
          <w:sz w:val="20"/>
        </w:rPr>
        <w:t> </w:t>
      </w:r>
      <w:r>
        <w:rPr>
          <w:rFonts w:ascii="Arial" w:hAnsi="Arial"/>
          <w:b/>
          <w:sz w:val="20"/>
          <w:u w:val="single"/>
        </w:rPr>
        <w:t>CONSUMIBLES</w:t>
      </w:r>
      <w:r>
        <w:rPr>
          <w:rFonts w:ascii="Arial" w:hAnsi="Arial"/>
          <w:b/>
          <w:spacing w:val="13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PER</w:t>
      </w:r>
      <w:r>
        <w:rPr>
          <w:rFonts w:ascii="Arial" w:hAnsi="Arial"/>
          <w:b/>
          <w:spacing w:val="16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A</w:t>
      </w:r>
      <w:r>
        <w:rPr>
          <w:rFonts w:ascii="Arial" w:hAnsi="Arial"/>
          <w:b/>
          <w:spacing w:val="16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LA</w:t>
      </w:r>
      <w:r>
        <w:rPr>
          <w:rFonts w:ascii="Arial" w:hAnsi="Arial"/>
          <w:b/>
          <w:spacing w:val="16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UNITAT</w:t>
      </w:r>
      <w:r>
        <w:rPr>
          <w:rFonts w:ascii="Arial" w:hAnsi="Arial"/>
          <w:b/>
          <w:spacing w:val="16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15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RECURSOS</w:t>
      </w:r>
      <w:r>
        <w:rPr>
          <w:rFonts w:ascii="Arial" w:hAnsi="Arial"/>
          <w:b/>
          <w:spacing w:val="16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MATERIALS</w:t>
      </w:r>
      <w:r>
        <w:rPr>
          <w:rFonts w:ascii="Arial" w:hAnsi="Arial"/>
          <w:b/>
          <w:spacing w:val="16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16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LA</w:t>
      </w:r>
      <w:r>
        <w:rPr>
          <w:rFonts w:ascii="Arial" w:hAnsi="Arial"/>
          <w:b/>
          <w:spacing w:val="16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PMS”</w:t>
      </w:r>
      <w:r>
        <w:rPr>
          <w:sz w:val="20"/>
        </w:rPr>
        <w:t>,</w:t>
      </w:r>
      <w:r>
        <w:rPr>
          <w:spacing w:val="16"/>
          <w:sz w:val="20"/>
        </w:rPr>
        <w:t> </w:t>
      </w:r>
      <w:r>
        <w:rPr>
          <w:sz w:val="20"/>
        </w:rPr>
        <w:t>concorre</w:t>
      </w:r>
      <w:r>
        <w:rPr>
          <w:spacing w:val="12"/>
          <w:sz w:val="20"/>
        </w:rPr>
        <w:t> </w:t>
      </w:r>
      <w:r>
        <w:rPr>
          <w:spacing w:val="-10"/>
          <w:sz w:val="20"/>
        </w:rPr>
        <w:t>a</w:t>
      </w:r>
    </w:p>
    <w:p>
      <w:pPr>
        <w:pStyle w:val="BodyText"/>
        <w:ind w:left="568" w:right="703"/>
        <w:jc w:val="both"/>
      </w:pPr>
      <w:r>
        <w:rPr/>
        <w:t>aquest procediment i es compromet, en cas de ser seleccionada la seva oferta, a l’execució del contracte amb estricta subjecció al projecte redactat a l’efecte i al plec de clàusules administratives</w:t>
      </w:r>
      <w:r>
        <w:rPr>
          <w:spacing w:val="-6"/>
        </w:rPr>
        <w:t> </w:t>
      </w:r>
      <w:r>
        <w:rPr/>
        <w:t>particulars.</w:t>
      </w:r>
      <w:r>
        <w:rPr>
          <w:spacing w:val="-7"/>
        </w:rPr>
        <w:t> </w:t>
      </w:r>
      <w:r>
        <w:rPr/>
        <w:t>L’esmentat</w:t>
      </w:r>
      <w:r>
        <w:rPr>
          <w:spacing w:val="-6"/>
        </w:rPr>
        <w:t> </w:t>
      </w:r>
      <w:r>
        <w:rPr/>
        <w:t>contracte</w:t>
      </w:r>
      <w:r>
        <w:rPr>
          <w:spacing w:val="-6"/>
        </w:rPr>
        <w:t> </w:t>
      </w:r>
      <w:r>
        <w:rPr/>
        <w:t>es</w:t>
      </w:r>
      <w:r>
        <w:rPr>
          <w:spacing w:val="-6"/>
        </w:rPr>
        <w:t> </w:t>
      </w:r>
      <w:r>
        <w:rPr/>
        <w:t>troba</w:t>
      </w:r>
      <w:r>
        <w:rPr>
          <w:spacing w:val="-6"/>
        </w:rPr>
        <w:t> </w:t>
      </w:r>
      <w:r>
        <w:rPr/>
        <w:t>dividit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els</w:t>
      </w:r>
      <w:r>
        <w:rPr>
          <w:spacing w:val="-6"/>
        </w:rPr>
        <w:t> </w:t>
      </w:r>
      <w:r>
        <w:rPr/>
        <w:t>següents</w:t>
      </w:r>
      <w:r>
        <w:rPr>
          <w:spacing w:val="-6"/>
        </w:rPr>
        <w:t> </w:t>
      </w:r>
      <w:r>
        <w:rPr/>
        <w:t>lots:</w:t>
      </w:r>
    </w:p>
    <w:p>
      <w:pPr>
        <w:pStyle w:val="BodyText"/>
      </w:pPr>
    </w:p>
    <w:p>
      <w:pPr>
        <w:spacing w:before="0"/>
        <w:ind w:left="1291" w:right="0" w:firstLine="0"/>
        <w:jc w:val="left"/>
        <w:rPr>
          <w:rFonts w:ascii="Arial"/>
          <w:b/>
          <w:sz w:val="20"/>
        </w:rPr>
      </w:pPr>
      <w:r>
        <w:rPr>
          <w:position w:val="3"/>
        </w:rPr>
        <w:drawing>
          <wp:inline distT="0" distB="0" distL="0" distR="0">
            <wp:extent cx="111034" cy="111034"/>
            <wp:effectExtent l="0" t="0" r="0" b="0"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034" cy="111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sz w:val="20"/>
        </w:rPr>
        <w:t> </w:t>
      </w:r>
      <w:r>
        <w:rPr>
          <w:rFonts w:ascii="Arial"/>
          <w:b/>
          <w:spacing w:val="-2"/>
          <w:sz w:val="20"/>
        </w:rPr>
        <w:t>Lot 1. Subministrament de ferreteria</w:t>
      </w:r>
    </w:p>
    <w:p>
      <w:pPr>
        <w:spacing w:before="0"/>
        <w:ind w:left="1290" w:right="3282" w:firstLine="0"/>
        <w:jc w:val="left"/>
        <w:rPr>
          <w:rFonts w:ascii="Arial" w:hAnsi="Arial"/>
          <w:b/>
          <w:sz w:val="20"/>
        </w:rPr>
      </w:pPr>
      <w:r>
        <w:rPr>
          <w:position w:val="3"/>
        </w:rPr>
        <w:drawing>
          <wp:inline distT="0" distB="0" distL="0" distR="0">
            <wp:extent cx="111034" cy="111034"/>
            <wp:effectExtent l="0" t="0" r="0" b="0"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034" cy="111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49"/>
          <w:sz w:val="20"/>
        </w:rPr>
        <w:t> </w:t>
      </w:r>
      <w:r>
        <w:rPr>
          <w:rFonts w:ascii="Arial" w:hAnsi="Arial"/>
          <w:b/>
          <w:sz w:val="20"/>
        </w:rPr>
        <w:t>Lot</w:t>
      </w:r>
      <w:r>
        <w:rPr>
          <w:rFonts w:ascii="Arial" w:hAnsi="Arial"/>
          <w:b/>
          <w:spacing w:val="-14"/>
          <w:sz w:val="20"/>
        </w:rPr>
        <w:t> </w:t>
      </w:r>
      <w:r>
        <w:rPr>
          <w:rFonts w:ascii="Arial" w:hAnsi="Arial"/>
          <w:b/>
          <w:sz w:val="20"/>
        </w:rPr>
        <w:t>2.</w:t>
      </w:r>
      <w:r>
        <w:rPr>
          <w:rFonts w:ascii="Arial" w:hAnsi="Arial"/>
          <w:b/>
          <w:spacing w:val="-14"/>
          <w:sz w:val="20"/>
        </w:rPr>
        <w:t> </w:t>
      </w:r>
      <w:r>
        <w:rPr>
          <w:rFonts w:ascii="Arial" w:hAnsi="Arial"/>
          <w:b/>
          <w:sz w:val="20"/>
        </w:rPr>
        <w:t>Subministrament</w:t>
      </w:r>
      <w:r>
        <w:rPr>
          <w:rFonts w:ascii="Arial" w:hAnsi="Arial"/>
          <w:b/>
          <w:spacing w:val="-14"/>
          <w:sz w:val="20"/>
        </w:rPr>
        <w:t> </w:t>
      </w:r>
      <w:r>
        <w:rPr>
          <w:rFonts w:ascii="Arial" w:hAnsi="Arial"/>
          <w:b/>
          <w:sz w:val="20"/>
        </w:rPr>
        <w:t>material</w:t>
      </w:r>
      <w:r>
        <w:rPr>
          <w:rFonts w:ascii="Arial" w:hAnsi="Arial"/>
          <w:b/>
          <w:spacing w:val="-14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4"/>
          <w:sz w:val="20"/>
        </w:rPr>
        <w:t> </w:t>
      </w:r>
      <w:r>
        <w:rPr>
          <w:rFonts w:ascii="Arial" w:hAnsi="Arial"/>
          <w:b/>
          <w:sz w:val="20"/>
        </w:rPr>
        <w:t>seguretat</w:t>
      </w:r>
      <w:r>
        <w:rPr>
          <w:rFonts w:ascii="Arial" w:hAnsi="Arial"/>
          <w:b/>
          <w:spacing w:val="-14"/>
          <w:sz w:val="20"/>
        </w:rPr>
        <w:t> </w:t>
      </w:r>
      <w:r>
        <w:rPr>
          <w:rFonts w:ascii="Arial" w:hAnsi="Arial"/>
          <w:b/>
          <w:sz w:val="20"/>
        </w:rPr>
        <w:t>viaria </w:t>
      </w:r>
      <w:r>
        <w:rPr>
          <w:rFonts w:ascii="Arial" w:hAnsi="Arial"/>
          <w:b/>
          <w:position w:val="3"/>
          <w:sz w:val="20"/>
        </w:rPr>
        <w:drawing>
          <wp:inline distT="0" distB="0" distL="0" distR="0">
            <wp:extent cx="111034" cy="111034"/>
            <wp:effectExtent l="0" t="0" r="0" b="0"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034" cy="111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/>
          <w:b/>
          <w:position w:val="3"/>
          <w:sz w:val="20"/>
        </w:rPr>
      </w:r>
      <w:r>
        <w:rPr>
          <w:rFonts w:ascii="Times New Roman" w:hAnsi="Times New Roman"/>
          <w:spacing w:val="80"/>
          <w:sz w:val="20"/>
        </w:rPr>
        <w:t> </w:t>
      </w:r>
      <w:r>
        <w:rPr>
          <w:rFonts w:ascii="Arial" w:hAnsi="Arial"/>
          <w:b/>
          <w:sz w:val="20"/>
        </w:rPr>
        <w:t>Lot 3. Subministrament de material de custòdia</w:t>
      </w:r>
    </w:p>
    <w:p>
      <w:pPr>
        <w:pStyle w:val="BodyText"/>
        <w:rPr>
          <w:rFonts w:ascii="Arial"/>
          <w:b/>
        </w:rPr>
      </w:pPr>
    </w:p>
    <w:p>
      <w:pPr>
        <w:pStyle w:val="BodyText"/>
        <w:ind w:left="568" w:right="704"/>
        <w:jc w:val="both"/>
      </w:pPr>
      <w:r>
        <w:rPr/>
        <w:t>En relació als criteris d’adjudicació avaluables mitjançant l’aplicació de fórmules que preveu el Plec de clàusules administratives particulars fa constar que l’oferta presentada es desglossa conforme el següent:</w:t>
      </w:r>
    </w:p>
    <w:p>
      <w:pPr>
        <w:pStyle w:val="BodyText"/>
      </w:pPr>
    </w:p>
    <w:p>
      <w:pPr>
        <w:pStyle w:val="BodyText"/>
      </w:pPr>
    </w:p>
    <w:p>
      <w:pPr>
        <w:spacing w:before="0"/>
        <w:ind w:left="568" w:right="0" w:firstLine="0"/>
        <w:jc w:val="both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  <w:u w:val="single"/>
        </w:rPr>
        <w:t>Lot</w:t>
      </w:r>
      <w:r>
        <w:rPr>
          <w:rFonts w:ascii="Arial"/>
          <w:b/>
          <w:spacing w:val="-5"/>
          <w:sz w:val="20"/>
          <w:u w:val="single"/>
        </w:rPr>
        <w:t> </w:t>
      </w:r>
      <w:r>
        <w:rPr>
          <w:rFonts w:ascii="Arial"/>
          <w:b/>
          <w:spacing w:val="-2"/>
          <w:sz w:val="20"/>
          <w:u w:val="single"/>
        </w:rPr>
        <w:t>1.</w:t>
      </w:r>
      <w:r>
        <w:rPr>
          <w:rFonts w:ascii="Arial"/>
          <w:b/>
          <w:spacing w:val="-4"/>
          <w:sz w:val="20"/>
          <w:u w:val="single"/>
        </w:rPr>
        <w:t> </w:t>
      </w:r>
      <w:r>
        <w:rPr>
          <w:rFonts w:ascii="Arial"/>
          <w:b/>
          <w:spacing w:val="-2"/>
          <w:sz w:val="20"/>
          <w:u w:val="single"/>
        </w:rPr>
        <w:t>Subministrament</w:t>
      </w:r>
      <w:r>
        <w:rPr>
          <w:rFonts w:ascii="Arial"/>
          <w:b/>
          <w:spacing w:val="-4"/>
          <w:sz w:val="20"/>
          <w:u w:val="single"/>
        </w:rPr>
        <w:t> </w:t>
      </w:r>
      <w:r>
        <w:rPr>
          <w:rFonts w:ascii="Arial"/>
          <w:b/>
          <w:spacing w:val="-2"/>
          <w:sz w:val="20"/>
          <w:u w:val="single"/>
        </w:rPr>
        <w:t>de</w:t>
      </w:r>
      <w:r>
        <w:rPr>
          <w:rFonts w:ascii="Arial"/>
          <w:b/>
          <w:spacing w:val="-4"/>
          <w:sz w:val="20"/>
          <w:u w:val="single"/>
        </w:rPr>
        <w:t> </w:t>
      </w:r>
      <w:r>
        <w:rPr>
          <w:rFonts w:ascii="Arial"/>
          <w:b/>
          <w:spacing w:val="-2"/>
          <w:sz w:val="20"/>
          <w:u w:val="single"/>
        </w:rPr>
        <w:t>ferreteria</w:t>
      </w:r>
    </w:p>
    <w:p>
      <w:pPr>
        <w:pStyle w:val="BodyText"/>
        <w:rPr>
          <w:rFonts w:ascii="Arial"/>
          <w:b/>
        </w:rPr>
      </w:pPr>
    </w:p>
    <w:p>
      <w:pPr>
        <w:spacing w:before="0"/>
        <w:ind w:left="568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Criteri</w:t>
      </w:r>
      <w:r>
        <w:rPr>
          <w:rFonts w:ascii="Arial" w:hAnsi="Arial"/>
          <w:b/>
          <w:spacing w:val="-7"/>
          <w:sz w:val="20"/>
        </w:rPr>
        <w:t> </w:t>
      </w:r>
      <w:r>
        <w:rPr>
          <w:rFonts w:ascii="Arial" w:hAnsi="Arial"/>
          <w:b/>
          <w:spacing w:val="-2"/>
          <w:sz w:val="20"/>
        </w:rPr>
        <w:t>d’adjudicació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pacing w:val="-2"/>
          <w:sz w:val="20"/>
        </w:rPr>
        <w:t>únic:</w:t>
      </w:r>
      <w:r>
        <w:rPr>
          <w:rFonts w:ascii="Arial" w:hAnsi="Arial"/>
          <w:b/>
          <w:spacing w:val="-6"/>
          <w:sz w:val="20"/>
        </w:rPr>
        <w:t> </w:t>
      </w:r>
      <w:r>
        <w:rPr>
          <w:rFonts w:ascii="Arial" w:hAnsi="Arial"/>
          <w:b/>
          <w:spacing w:val="-2"/>
          <w:sz w:val="20"/>
        </w:rPr>
        <w:t>Millora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pacing w:val="-2"/>
          <w:sz w:val="20"/>
        </w:rPr>
        <w:t>econòmica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pacing w:val="-2"/>
          <w:sz w:val="20"/>
        </w:rPr>
        <w:t>en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pacing w:val="-2"/>
          <w:sz w:val="20"/>
        </w:rPr>
        <w:t>el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pacing w:val="-2"/>
          <w:sz w:val="20"/>
        </w:rPr>
        <w:t>preu.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pacing w:val="-2"/>
          <w:sz w:val="20"/>
        </w:rPr>
        <w:t>(Puntuació</w:t>
      </w:r>
      <w:r>
        <w:rPr>
          <w:rFonts w:ascii="Arial" w:hAnsi="Arial"/>
          <w:b/>
          <w:spacing w:val="-6"/>
          <w:sz w:val="20"/>
        </w:rPr>
        <w:t> </w:t>
      </w:r>
      <w:r>
        <w:rPr>
          <w:rFonts w:ascii="Arial" w:hAnsi="Arial"/>
          <w:b/>
          <w:spacing w:val="-2"/>
          <w:sz w:val="20"/>
        </w:rPr>
        <w:t>màxima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pacing w:val="-2"/>
          <w:sz w:val="20"/>
        </w:rPr>
        <w:t>100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pacing w:val="-2"/>
          <w:sz w:val="20"/>
        </w:rPr>
        <w:t>punts)</w:t>
      </w:r>
    </w:p>
    <w:p>
      <w:pPr>
        <w:pStyle w:val="BodyText"/>
        <w:rPr>
          <w:rFonts w:ascii="Arial"/>
          <w:b/>
        </w:rPr>
      </w:pPr>
    </w:p>
    <w:tbl>
      <w:tblPr>
        <w:tblW w:w="0" w:type="auto"/>
        <w:jc w:val="left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23"/>
        <w:gridCol w:w="1022"/>
        <w:gridCol w:w="1134"/>
        <w:gridCol w:w="992"/>
        <w:gridCol w:w="1134"/>
        <w:gridCol w:w="851"/>
        <w:gridCol w:w="850"/>
        <w:gridCol w:w="851"/>
      </w:tblGrid>
      <w:tr>
        <w:trPr>
          <w:trHeight w:val="1020" w:hRule="atLeast"/>
        </w:trPr>
        <w:tc>
          <w:tcPr>
            <w:tcW w:w="2523" w:type="dxa"/>
          </w:tcPr>
          <w:p>
            <w:pPr>
              <w:pStyle w:val="TableParagraph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spacing w:before="50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26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Descripció</w:t>
            </w:r>
            <w:r>
              <w:rPr>
                <w:rFonts w:ascii="Arial" w:hAnsi="Arial"/>
                <w:b/>
                <w:spacing w:val="-5"/>
                <w:sz w:val="16"/>
              </w:rPr>
              <w:t> </w:t>
            </w:r>
            <w:r>
              <w:rPr>
                <w:rFonts w:ascii="Arial" w:hAnsi="Arial"/>
                <w:b/>
                <w:spacing w:val="-2"/>
                <w:sz w:val="16"/>
              </w:rPr>
              <w:t>material/article</w:t>
            </w:r>
          </w:p>
        </w:tc>
        <w:tc>
          <w:tcPr>
            <w:tcW w:w="1022" w:type="dxa"/>
          </w:tcPr>
          <w:p>
            <w:pPr>
              <w:pStyle w:val="TableParagraph"/>
              <w:spacing w:before="50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1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Unitats estimades totals</w:t>
            </w:r>
          </w:p>
        </w:tc>
        <w:tc>
          <w:tcPr>
            <w:tcW w:w="1134" w:type="dxa"/>
          </w:tcPr>
          <w:p>
            <w:pPr>
              <w:pStyle w:val="TableParagraph"/>
              <w:spacing w:before="142"/>
              <w:ind w:left="98" w:right="86"/>
              <w:jc w:val="center"/>
              <w:rPr>
                <w:rFonts w:ascii="Arial" w:hAnsi="Arial"/>
                <w:b/>
                <w:i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Preu</w:t>
            </w:r>
            <w:r>
              <w:rPr>
                <w:rFonts w:ascii="Arial" w:hAnsi="Arial"/>
                <w:b/>
                <w:spacing w:val="-1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unitari màxim de </w:t>
            </w:r>
            <w:r>
              <w:rPr>
                <w:rFonts w:ascii="Arial" w:hAnsi="Arial"/>
                <w:b/>
                <w:spacing w:val="-2"/>
                <w:sz w:val="16"/>
              </w:rPr>
              <w:t>licitació </w:t>
            </w:r>
            <w:r>
              <w:rPr>
                <w:rFonts w:ascii="Arial" w:hAnsi="Arial"/>
                <w:b/>
                <w:i/>
                <w:sz w:val="16"/>
              </w:rPr>
              <w:t>sense IVA</w:t>
            </w:r>
          </w:p>
        </w:tc>
        <w:tc>
          <w:tcPr>
            <w:tcW w:w="992" w:type="dxa"/>
          </w:tcPr>
          <w:p>
            <w:pPr>
              <w:pStyle w:val="TableParagraph"/>
              <w:spacing w:before="142"/>
              <w:ind w:left="113" w:right="10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Preu </w:t>
            </w:r>
            <w:r>
              <w:rPr>
                <w:rFonts w:ascii="Arial"/>
                <w:b/>
                <w:spacing w:val="-2"/>
                <w:sz w:val="16"/>
              </w:rPr>
              <w:t>unitari ofert </w:t>
            </w:r>
            <w:r>
              <w:rPr>
                <w:rFonts w:ascii="Arial"/>
                <w:b/>
                <w:sz w:val="16"/>
              </w:rPr>
              <w:t>sense</w:t>
            </w:r>
            <w:r>
              <w:rPr>
                <w:rFonts w:ascii="Arial"/>
                <w:b/>
                <w:spacing w:val="-12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IVA</w:t>
            </w:r>
          </w:p>
        </w:tc>
        <w:tc>
          <w:tcPr>
            <w:tcW w:w="1134" w:type="dxa"/>
          </w:tcPr>
          <w:p>
            <w:pPr>
              <w:pStyle w:val="TableParagraph"/>
              <w:spacing w:before="50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98" w:right="8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Preu</w:t>
            </w:r>
            <w:r>
              <w:rPr>
                <w:rFonts w:ascii="Arial"/>
                <w:b/>
                <w:spacing w:val="-12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unitari </w:t>
            </w:r>
            <w:r>
              <w:rPr>
                <w:rFonts w:ascii="Arial"/>
                <w:b/>
                <w:spacing w:val="-2"/>
                <w:sz w:val="16"/>
              </w:rPr>
              <w:t>ofert</w:t>
            </w:r>
          </w:p>
          <w:p>
            <w:pPr>
              <w:pStyle w:val="TableParagraph"/>
              <w:ind w:left="98" w:right="89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IVA</w:t>
            </w:r>
            <w:r>
              <w:rPr>
                <w:rFonts w:ascii="Arial" w:hAnsi="Arial"/>
                <w:b/>
                <w:spacing w:val="-2"/>
                <w:sz w:val="16"/>
              </w:rPr>
              <w:t> inclòs</w:t>
            </w:r>
          </w:p>
        </w:tc>
        <w:tc>
          <w:tcPr>
            <w:tcW w:w="851" w:type="dxa"/>
          </w:tcPr>
          <w:p>
            <w:pPr>
              <w:pStyle w:val="TableParagraph"/>
              <w:spacing w:before="142"/>
              <w:ind w:left="125" w:right="11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Import total sense </w:t>
            </w:r>
            <w:r>
              <w:rPr>
                <w:rFonts w:ascii="Arial"/>
                <w:b/>
                <w:spacing w:val="-4"/>
                <w:sz w:val="16"/>
              </w:rPr>
              <w:t>IVA</w:t>
            </w:r>
          </w:p>
        </w:tc>
        <w:tc>
          <w:tcPr>
            <w:tcW w:w="850" w:type="dxa"/>
          </w:tcPr>
          <w:p>
            <w:pPr>
              <w:pStyle w:val="TableParagraph"/>
              <w:spacing w:before="184"/>
              <w:ind w:left="131" w:right="113" w:firstLine="44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Import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pacing w:val="-2"/>
                <w:sz w:val="16"/>
              </w:rPr>
              <w:t>l’IVA</w:t>
            </w:r>
          </w:p>
          <w:p>
            <w:pPr>
              <w:pStyle w:val="TableParagraph"/>
              <w:tabs>
                <w:tab w:pos="503" w:val="left" w:leader="none"/>
              </w:tabs>
              <w:ind w:left="19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  <w:u w:val="single"/>
              </w:rPr>
              <w:tab/>
            </w:r>
            <w:r>
              <w:rPr>
                <w:rFonts w:ascii="Arial"/>
                <w:b/>
                <w:spacing w:val="-10"/>
                <w:sz w:val="16"/>
              </w:rPr>
              <w:t>%</w:t>
            </w:r>
          </w:p>
        </w:tc>
        <w:tc>
          <w:tcPr>
            <w:tcW w:w="851" w:type="dxa"/>
          </w:tcPr>
          <w:p>
            <w:pPr>
              <w:pStyle w:val="TableParagraph"/>
              <w:ind w:left="125" w:right="11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Import total ofert, </w:t>
            </w:r>
            <w:r>
              <w:rPr>
                <w:rFonts w:ascii="Arial"/>
                <w:b/>
                <w:spacing w:val="-4"/>
                <w:sz w:val="16"/>
              </w:rPr>
              <w:t>IVA</w:t>
            </w:r>
          </w:p>
          <w:p>
            <w:pPr>
              <w:pStyle w:val="TableParagraph"/>
              <w:ind w:left="125" w:right="11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inclòs</w:t>
            </w:r>
          </w:p>
        </w:tc>
      </w:tr>
      <w:tr>
        <w:trPr>
          <w:trHeight w:val="300" w:hRule="atLeast"/>
        </w:trPr>
        <w:tc>
          <w:tcPr>
            <w:tcW w:w="2523" w:type="dxa"/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Alicates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Universal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180mm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16,80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51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 w:right="146"/>
              <w:rPr>
                <w:sz w:val="16"/>
              </w:rPr>
            </w:pPr>
            <w:r>
              <w:rPr>
                <w:sz w:val="16"/>
              </w:rPr>
              <w:t>Allargador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cable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elèctric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4 Endolls amb Interruptor 1.8 </w:t>
            </w:r>
            <w:r>
              <w:rPr>
                <w:spacing w:val="-2"/>
                <w:sz w:val="16"/>
              </w:rPr>
              <w:t>metres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71,40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 w:right="146"/>
              <w:rPr>
                <w:sz w:val="16"/>
              </w:rPr>
            </w:pPr>
            <w:r>
              <w:rPr>
                <w:sz w:val="16"/>
              </w:rPr>
              <w:t>Allargadors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cable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elèctric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de 50 metres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69,60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51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Allargadors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elèctrics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2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metres amb regleta de 5 endolls i protecció sobretensió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29,00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 w:right="146"/>
              <w:rPr>
                <w:sz w:val="16"/>
              </w:rPr>
            </w:pPr>
            <w:r>
              <w:rPr>
                <w:sz w:val="16"/>
              </w:rPr>
              <w:t>Arrencador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portàtil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bateries 12V 400A (800A pic)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273,00</w:t>
            </w:r>
            <w:r>
              <w:rPr>
                <w:spacing w:val="43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00" w:hRule="atLeast"/>
        </w:trPr>
        <w:tc>
          <w:tcPr>
            <w:tcW w:w="2523" w:type="dxa"/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Cable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bateries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vehicles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5"/>
                <w:sz w:val="16"/>
              </w:rPr>
              <w:t>3m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86,80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00" w:hRule="atLeast"/>
        </w:trPr>
        <w:tc>
          <w:tcPr>
            <w:tcW w:w="2523" w:type="dxa"/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Cable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ethernet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metres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58,00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 w:right="207"/>
              <w:rPr>
                <w:sz w:val="16"/>
              </w:rPr>
            </w:pPr>
            <w:r>
              <w:rPr>
                <w:sz w:val="16"/>
              </w:rPr>
              <w:t>Cadenats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llautó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40mm per a exteriors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50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11,52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 w:right="207"/>
              <w:rPr>
                <w:sz w:val="16"/>
              </w:rPr>
            </w:pPr>
            <w:r>
              <w:rPr>
                <w:sz w:val="16"/>
              </w:rPr>
              <w:t>Cadenats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llautó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50mm per a exteriors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20,24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51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 w:right="146"/>
              <w:rPr>
                <w:sz w:val="16"/>
              </w:rPr>
            </w:pPr>
            <w:r>
              <w:rPr>
                <w:sz w:val="16"/>
              </w:rPr>
              <w:t>Caixa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100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unitats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tacs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de nylon expansius de paret del núm. 8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5,69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51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 w:right="146"/>
              <w:rPr>
                <w:sz w:val="16"/>
              </w:rPr>
            </w:pPr>
            <w:r>
              <w:rPr>
                <w:sz w:val="16"/>
              </w:rPr>
              <w:t>Caixa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claus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Vas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amb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un mínim de 80 components </w:t>
            </w:r>
            <w:r>
              <w:rPr>
                <w:spacing w:val="-2"/>
                <w:sz w:val="16"/>
              </w:rPr>
              <w:t>(carraca)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110,50</w:t>
            </w:r>
            <w:r>
              <w:rPr>
                <w:spacing w:val="43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51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 w:right="146"/>
              <w:rPr>
                <w:sz w:val="16"/>
              </w:rPr>
            </w:pPr>
            <w:r>
              <w:rPr>
                <w:sz w:val="16"/>
              </w:rPr>
              <w:t>Caixes de 100 unitats de tacs de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nylon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expansius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paret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del núm. 6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25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3,14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51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 w:right="300"/>
              <w:jc w:val="both"/>
              <w:rPr>
                <w:sz w:val="16"/>
              </w:rPr>
            </w:pPr>
            <w:r>
              <w:rPr>
                <w:sz w:val="16"/>
              </w:rPr>
              <w:t>Caixes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visos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cap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d'estrella del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núm.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6x30mm</w:t>
            </w:r>
            <w:r>
              <w:rPr>
                <w:spacing w:val="31"/>
                <w:sz w:val="16"/>
              </w:rPr>
              <w:t> </w:t>
            </w:r>
            <w:r>
              <w:rPr>
                <w:sz w:val="16"/>
              </w:rPr>
              <w:t>(caixa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100 </w:t>
            </w:r>
            <w:r>
              <w:rPr>
                <w:spacing w:val="-4"/>
                <w:sz w:val="16"/>
              </w:rPr>
              <w:t>un)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3,02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8"/>
        </w:rPr>
        <w:sectPr>
          <w:headerReference w:type="default" r:id="rId5"/>
          <w:footerReference w:type="default" r:id="rId6"/>
          <w:type w:val="continuous"/>
          <w:pgSz w:w="11910" w:h="16840"/>
          <w:pgMar w:header="650" w:footer="591" w:top="1340" w:bottom="780" w:left="1133" w:right="992"/>
          <w:pgNumType w:start="44"/>
        </w:sectPr>
      </w:pPr>
    </w:p>
    <w:p>
      <w:pPr>
        <w:pStyle w:val="BodyText"/>
        <w:spacing w:before="106"/>
        <w:rPr>
          <w:rFonts w:ascii="Arial"/>
          <w:b/>
        </w:rPr>
      </w:pPr>
    </w:p>
    <w:tbl>
      <w:tblPr>
        <w:tblW w:w="0" w:type="auto"/>
        <w:jc w:val="left"/>
        <w:tblInd w:w="1147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rFonts w:ascii="Arial"/>
                <w:b/>
                <w:sz w:val="14"/>
              </w:rPr>
            </w:pPr>
          </w:p>
          <w:p>
            <w:pPr>
              <w:pStyle w:val="TableParagraph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rFonts w:ascii="Arial"/>
                <w:b/>
                <w:sz w:val="13"/>
              </w:rPr>
            </w:pPr>
          </w:p>
          <w:p>
            <w:pPr>
              <w:pStyle w:val="TableParagraph"/>
              <w:spacing w:line="155" w:lineRule="exact"/>
              <w:ind w:left="1275"/>
              <w:rPr>
                <w:rFonts w:ascii="Arial"/>
                <w:position w:val="-2"/>
                <w:sz w:val="15"/>
              </w:rPr>
            </w:pPr>
            <w:r>
              <w:rPr>
                <w:rFonts w:ascii="Arial"/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7" name="Group 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" name="Group 7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8" name="Image 28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9" name="Image 29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0" name="Image 30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3" coordorigin="0,0" coordsize="3531,155">
                      <v:shape style="position:absolute;left:456;top:0;width:140;height:155" type="#_x0000_t75" id="docshape4" stroked="false">
                        <v:imagedata r:id="rId8" o:title=""/>
                      </v:shape>
                      <v:shape style="position:absolute;left:304;top:0;width:140;height:155" type="#_x0000_t75" id="docshape5" stroked="false">
                        <v:imagedata r:id="rId9" o:title=""/>
                      </v:shape>
                      <v:shape style="position:absolute;left:152;top:0;width:125;height:155" type="#_x0000_t75" id="docshape6" stroked="false">
                        <v:imagedata r:id="rId10" o:title=""/>
                      </v:shape>
                      <v:shape style="position:absolute;left:0;top:0;width:100;height:155" type="#_x0000_t75" id="docshape7" stroked="false">
                        <v:imagedata r:id="rId11" o:title=""/>
                      </v:shape>
                      <v:shape style="position:absolute;left:1370;top:0;width:140;height:155" type="#_x0000_t75" id="docshape8" stroked="false">
                        <v:imagedata r:id="rId12" o:title=""/>
                      </v:shape>
                      <v:shape style="position:absolute;left:1218;top:0;width:140;height:155" type="#_x0000_t75" id="docshape9" stroked="false">
                        <v:imagedata r:id="rId13" o:title=""/>
                      </v:shape>
                      <v:shape style="position:absolute;left:1066;top:0;width:140;height:155" type="#_x0000_t75" id="docshape10" stroked="false">
                        <v:imagedata r:id="rId8" o:title=""/>
                      </v:shape>
                      <v:shape style="position:absolute;left:913;top:0;width:115;height:155" type="#_x0000_t75" id="docshape11" stroked="false">
                        <v:imagedata r:id="rId14" o:title=""/>
                      </v:shape>
                      <v:shape style="position:absolute;left:761;top:0;width:140;height:155" type="#_x0000_t75" id="docshape12" stroked="false">
                        <v:imagedata r:id="rId15" o:title=""/>
                      </v:shape>
                      <v:shape style="position:absolute;left:609;top:0;width:115;height:155" type="#_x0000_t75" id="docshape13" stroked="false">
                        <v:imagedata r:id="rId16" o:title=""/>
                      </v:shape>
                      <v:shape style="position:absolute;left:2436;top:0;width:140;height:155" type="#_x0000_t75" id="docshape14" stroked="false">
                        <v:imagedata r:id="rId8" o:title=""/>
                      </v:shape>
                      <v:shape style="position:absolute;left:2284;top:0;width:140;height:155" type="#_x0000_t75" id="docshape15" stroked="false">
                        <v:imagedata r:id="rId12" o:title=""/>
                      </v:shape>
                      <v:shape style="position:absolute;left:2132;top:0;width:140;height:155" type="#_x0000_t75" id="docshape16" stroked="false">
                        <v:imagedata r:id="rId17" o:title=""/>
                      </v:shape>
                      <v:shape style="position:absolute;left:1979;top:0;width:140;height:155" type="#_x0000_t75" id="docshape17" stroked="false">
                        <v:imagedata r:id="rId8" o:title=""/>
                      </v:shape>
                      <v:shape style="position:absolute;left:1827;top:0;width:125;height:155" type="#_x0000_t75" id="docshape18" stroked="false">
                        <v:imagedata r:id="rId10" o:title=""/>
                      </v:shape>
                      <v:shape style="position:absolute;left:1675;top:0;width:140;height:155" type="#_x0000_t75" id="docshape19" stroked="false">
                        <v:imagedata r:id="rId15" o:title=""/>
                      </v:shape>
                      <v:shape style="position:absolute;left:1523;top:0;width:140;height:155" type="#_x0000_t75" id="docshape20" stroked="false">
                        <v:imagedata r:id="rId13" o:title=""/>
                      </v:shape>
                      <v:shape style="position:absolute;left:3350;top:0;width:180;height:155" type="#_x0000_t75" id="docshape21" stroked="false">
                        <v:imagedata r:id="rId18" o:title=""/>
                      </v:shape>
                      <v:shape style="position:absolute;left:3198;top:0;width:100;height:155" type="#_x0000_t75" id="docshape22" stroked="false">
                        <v:imagedata r:id="rId19" o:title=""/>
                      </v:shape>
                      <v:shape style="position:absolute;left:3046;top:0;width:125;height:155" type="#_x0000_t75" id="docshape23" stroked="false">
                        <v:imagedata r:id="rId20" o:title=""/>
                      </v:shape>
                      <v:shape style="position:absolute;left:2893;top:0;width:140;height:155" type="#_x0000_t75" id="docshape24" stroked="false">
                        <v:imagedata r:id="rId21" o:title=""/>
                      </v:shape>
                      <v:shape style="position:absolute;left:2741;top:0;width:140;height:155" type="#_x0000_t75" id="docshape25" stroked="false">
                        <v:imagedata r:id="rId8" o:title=""/>
                      </v:shape>
                      <v:shape style="position:absolute;left:2589;top:0;width:140;height:155" type="#_x0000_t75" id="docshape26" stroked="false">
                        <v:imagedata r:id="rId12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0"/>
              <w:jc w:val="center"/>
              <w:rPr>
                <w:sz w:val="14"/>
              </w:rPr>
            </w:pPr>
            <w:r>
              <w:rPr>
                <w:sz w:val="14"/>
              </w:rPr>
              <w:t>3Z2E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4D2F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1F43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2U12</w:t>
            </w:r>
            <w:r>
              <w:rPr>
                <w:spacing w:val="-1"/>
                <w:sz w:val="14"/>
              </w:rPr>
              <w:t> </w:t>
            </w:r>
            <w:r>
              <w:rPr>
                <w:spacing w:val="-4"/>
                <w:sz w:val="14"/>
              </w:rPr>
              <w:t>12T6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spacing w:before="133"/>
              <w:ind w:left="155"/>
              <w:rPr>
                <w:sz w:val="14"/>
              </w:rPr>
            </w:pPr>
            <w:r>
              <w:rPr>
                <w:spacing w:val="-2"/>
                <w:sz w:val="14"/>
              </w:rPr>
              <w:t>SGT/2025/894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SGT19I02W4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spacing w:before="133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spacing w:before="133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21-05-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/>
              <w:rPr>
                <w:sz w:val="14"/>
              </w:rPr>
            </w:pPr>
            <w:r>
              <w:rPr>
                <w:sz w:val="14"/>
              </w:rPr>
              <w:t>POSS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productes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ferreteria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consumibles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per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unitat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recursos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materials de la PMS</w:t>
            </w:r>
          </w:p>
        </w:tc>
      </w:tr>
    </w:tbl>
    <w:p>
      <w:pPr>
        <w:pStyle w:val="BodyText"/>
        <w:rPr>
          <w:rFonts w:ascii="Arial"/>
          <w:b/>
        </w:rPr>
      </w:pPr>
    </w:p>
    <w:p>
      <w:pPr>
        <w:pStyle w:val="BodyText"/>
        <w:spacing w:before="49"/>
        <w:rPr>
          <w:rFonts w:ascii="Arial"/>
          <w:b/>
        </w:rPr>
      </w:pPr>
    </w:p>
    <w:tbl>
      <w:tblPr>
        <w:tblW w:w="0" w:type="auto"/>
        <w:jc w:val="left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23"/>
        <w:gridCol w:w="1022"/>
        <w:gridCol w:w="1134"/>
        <w:gridCol w:w="992"/>
        <w:gridCol w:w="1134"/>
        <w:gridCol w:w="851"/>
        <w:gridCol w:w="850"/>
        <w:gridCol w:w="851"/>
      </w:tblGrid>
      <w:tr>
        <w:trPr>
          <w:trHeight w:val="551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 w:right="300"/>
              <w:jc w:val="both"/>
              <w:rPr>
                <w:sz w:val="16"/>
              </w:rPr>
            </w:pPr>
            <w:r>
              <w:rPr>
                <w:sz w:val="16"/>
              </w:rPr>
              <w:t>Caixes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visos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cap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d'estrella del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núm.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8x30mm</w:t>
            </w:r>
            <w:r>
              <w:rPr>
                <w:spacing w:val="31"/>
                <w:sz w:val="16"/>
              </w:rPr>
              <w:t> </w:t>
            </w:r>
            <w:r>
              <w:rPr>
                <w:sz w:val="16"/>
              </w:rPr>
              <w:t>(caixa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100 </w:t>
            </w:r>
            <w:r>
              <w:rPr>
                <w:spacing w:val="-4"/>
                <w:sz w:val="16"/>
              </w:rPr>
              <w:t>un)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4,95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 w:right="207"/>
              <w:rPr>
                <w:sz w:val="16"/>
              </w:rPr>
            </w:pPr>
            <w:r>
              <w:rPr>
                <w:sz w:val="16"/>
              </w:rPr>
              <w:t>Carregador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piles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AAA,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AA </w:t>
            </w:r>
            <w:r>
              <w:rPr>
                <w:spacing w:val="-6"/>
                <w:sz w:val="16"/>
              </w:rPr>
              <w:t>9V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46,20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10" w:hRule="atLeast"/>
        </w:trPr>
        <w:tc>
          <w:tcPr>
            <w:tcW w:w="2523" w:type="dxa"/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Cascos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Protector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Auditiu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dB, Insonoritzat camp de tir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50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14,97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 w:right="146"/>
              <w:rPr>
                <w:sz w:val="16"/>
              </w:rPr>
            </w:pPr>
            <w:r>
              <w:rPr>
                <w:sz w:val="16"/>
              </w:rPr>
              <w:t>Cinta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aïllant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PVC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10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m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x 15mm, color negre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75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1,50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 w:right="146"/>
              <w:rPr>
                <w:sz w:val="16"/>
              </w:rPr>
            </w:pPr>
            <w:r>
              <w:rPr>
                <w:sz w:val="16"/>
              </w:rPr>
              <w:t>Cinta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Americana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50m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x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50mm </w:t>
            </w:r>
            <w:r>
              <w:rPr>
                <w:spacing w:val="-4"/>
                <w:sz w:val="16"/>
              </w:rPr>
              <w:t>Gris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25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10,00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Cinta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Americana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50m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x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50mm </w:t>
            </w:r>
            <w:r>
              <w:rPr>
                <w:spacing w:val="-2"/>
                <w:sz w:val="16"/>
              </w:rPr>
              <w:t>Negre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25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10,00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0" w:hRule="atLeast"/>
        </w:trPr>
        <w:tc>
          <w:tcPr>
            <w:tcW w:w="2523" w:type="dxa"/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Cisalla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450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32,50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0" w:hRule="atLeast"/>
        </w:trPr>
        <w:tc>
          <w:tcPr>
            <w:tcW w:w="2523" w:type="dxa"/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Cisalla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600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15,60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0" w:hRule="atLeast"/>
        </w:trPr>
        <w:tc>
          <w:tcPr>
            <w:tcW w:w="2523" w:type="dxa"/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Cisalla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750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45,50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65" w:hRule="atLeast"/>
        </w:trPr>
        <w:tc>
          <w:tcPr>
            <w:tcW w:w="2523" w:type="dxa"/>
          </w:tcPr>
          <w:p>
            <w:pPr>
              <w:pStyle w:val="TableParagraph"/>
              <w:ind w:left="108" w:right="104"/>
              <w:rPr>
                <w:sz w:val="16"/>
              </w:rPr>
            </w:pPr>
            <w:r>
              <w:rPr>
                <w:sz w:val="16"/>
              </w:rPr>
              <w:t>Clauers de plàstic acrílic rectangular. Amb opció d'inserció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paper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personalitzat a 2 cares (35x50mm aprox.)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250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1,25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35" w:hRule="atLeast"/>
        </w:trPr>
        <w:tc>
          <w:tcPr>
            <w:tcW w:w="2523" w:type="dxa"/>
          </w:tcPr>
          <w:p>
            <w:pPr>
              <w:pStyle w:val="TableParagraph"/>
              <w:ind w:left="108" w:right="207"/>
              <w:rPr>
                <w:sz w:val="16"/>
              </w:rPr>
            </w:pPr>
            <w:r>
              <w:rPr>
                <w:sz w:val="16"/>
              </w:rPr>
              <w:t>Compressor d'aire Portàtil de bateria recarregable (6000mAH,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150PSI)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amb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LCD</w:t>
            </w:r>
          </w:p>
          <w:p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Digital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33,80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Còpia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claus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especials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de </w:t>
            </w:r>
            <w:r>
              <w:rPr>
                <w:spacing w:val="-2"/>
                <w:sz w:val="16"/>
              </w:rPr>
              <w:t>seguretat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100,00</w:t>
            </w:r>
            <w:r>
              <w:rPr>
                <w:spacing w:val="43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Còpia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claus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especials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tipus </w:t>
            </w:r>
            <w:r>
              <w:rPr>
                <w:spacing w:val="-2"/>
                <w:sz w:val="16"/>
              </w:rPr>
              <w:t>vehicle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320,00</w:t>
            </w:r>
            <w:r>
              <w:rPr>
                <w:spacing w:val="43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0" w:hRule="atLeast"/>
        </w:trPr>
        <w:tc>
          <w:tcPr>
            <w:tcW w:w="2523" w:type="dxa"/>
          </w:tcPr>
          <w:p>
            <w:pPr>
              <w:pStyle w:val="TableParagraph"/>
              <w:ind w:left="108"/>
              <w:rPr>
                <w:rFonts w:ascii="Arial" w:hAnsi="Arial"/>
                <w:i/>
                <w:sz w:val="16"/>
              </w:rPr>
            </w:pPr>
            <w:r>
              <w:rPr>
                <w:sz w:val="16"/>
              </w:rPr>
              <w:t>Còpia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claus</w:t>
            </w:r>
            <w:r>
              <w:rPr>
                <w:spacing w:val="-1"/>
                <w:sz w:val="16"/>
              </w:rPr>
              <w:t> </w:t>
            </w:r>
            <w:r>
              <w:rPr>
                <w:rFonts w:ascii="Arial" w:hAnsi="Arial"/>
                <w:i/>
                <w:spacing w:val="-2"/>
                <w:sz w:val="16"/>
              </w:rPr>
              <w:t>serreta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125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2,16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51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 w:right="535"/>
              <w:jc w:val="both"/>
              <w:rPr>
                <w:sz w:val="16"/>
              </w:rPr>
            </w:pPr>
            <w:r>
              <w:rPr>
                <w:sz w:val="16"/>
              </w:rPr>
              <w:t>Corretja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subjecció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amb tensor</w:t>
            </w:r>
            <w:r>
              <w:rPr>
                <w:spacing w:val="-10"/>
                <w:sz w:val="16"/>
              </w:rPr>
              <w:t> </w:t>
            </w:r>
            <w:r>
              <w:rPr>
                <w:rFonts w:ascii="Arial" w:hAnsi="Arial"/>
                <w:i/>
                <w:sz w:val="16"/>
              </w:rPr>
              <w:t>Carraca</w:t>
            </w:r>
            <w:r>
              <w:rPr>
                <w:rFonts w:ascii="Arial" w:hAnsi="Arial"/>
                <w:i/>
                <w:spacing w:val="-10"/>
                <w:sz w:val="16"/>
              </w:rPr>
              <w:t> </w:t>
            </w:r>
            <w:r>
              <w:rPr>
                <w:sz w:val="16"/>
              </w:rPr>
              <w:t>6m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2Tn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de </w:t>
            </w:r>
            <w:r>
              <w:rPr>
                <w:spacing w:val="-2"/>
                <w:sz w:val="16"/>
              </w:rPr>
              <w:t>tracció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28,00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Enrollacable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amb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interruptor 10metres i 4 tomes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25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54,60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0" w:hRule="atLeast"/>
        </w:trPr>
        <w:tc>
          <w:tcPr>
            <w:tcW w:w="2523" w:type="dxa"/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Eslinga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100x2,5cm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400kg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8,40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Eslinga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amb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ganxos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6m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3Tn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de </w:t>
            </w:r>
            <w:r>
              <w:rPr>
                <w:spacing w:val="-2"/>
                <w:sz w:val="16"/>
              </w:rPr>
              <w:t>tracció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20,80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 w:right="146"/>
              <w:rPr>
                <w:sz w:val="16"/>
              </w:rPr>
            </w:pPr>
            <w:r>
              <w:rPr>
                <w:sz w:val="16"/>
              </w:rPr>
              <w:t>Eslinga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poliester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plana 150mm*6m 5Tn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14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77,00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10" w:hRule="atLeast"/>
        </w:trPr>
        <w:tc>
          <w:tcPr>
            <w:tcW w:w="2523" w:type="dxa"/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Estació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d'energia,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compressor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i arrencador de bateria a 230V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230,10</w:t>
            </w:r>
            <w:r>
              <w:rPr>
                <w:spacing w:val="43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51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 w:right="146"/>
              <w:rPr>
                <w:sz w:val="16"/>
              </w:rPr>
            </w:pPr>
            <w:r>
              <w:rPr>
                <w:sz w:val="16"/>
              </w:rPr>
              <w:t>Frontissa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Plana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Ferro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Polit Doble Fulla de 80x80 o </w:t>
            </w:r>
            <w:r>
              <w:rPr>
                <w:spacing w:val="-2"/>
                <w:sz w:val="16"/>
              </w:rPr>
              <w:t>equivalent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6,75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0" w:hRule="atLeast"/>
        </w:trPr>
        <w:tc>
          <w:tcPr>
            <w:tcW w:w="2523" w:type="dxa"/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Gorros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higiènics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paper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3.000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0,07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0" w:hRule="atLeast"/>
        </w:trPr>
        <w:tc>
          <w:tcPr>
            <w:tcW w:w="2523" w:type="dxa"/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Guants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antitalls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niló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75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7,50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10" w:hRule="atLeast"/>
        </w:trPr>
        <w:tc>
          <w:tcPr>
            <w:tcW w:w="2523" w:type="dxa"/>
          </w:tcPr>
          <w:p>
            <w:pPr>
              <w:pStyle w:val="TableParagraph"/>
              <w:ind w:left="108" w:right="104"/>
              <w:rPr>
                <w:sz w:val="16"/>
              </w:rPr>
            </w:pPr>
            <w:r>
              <w:rPr>
                <w:sz w:val="16"/>
              </w:rPr>
              <w:t>Guants de Nylon Nitril d'us general</w:t>
            </w:r>
            <w:r>
              <w:rPr>
                <w:spacing w:val="32"/>
                <w:sz w:val="16"/>
              </w:rPr>
              <w:t> </w:t>
            </w:r>
            <w:r>
              <w:rPr>
                <w:sz w:val="16"/>
              </w:rPr>
              <w:t>Talla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L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(paquet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100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un)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45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12,00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51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 w:right="146"/>
              <w:rPr>
                <w:sz w:val="16"/>
              </w:rPr>
            </w:pPr>
            <w:r>
              <w:rPr>
                <w:sz w:val="16"/>
              </w:rPr>
              <w:t>Guants de Nylon Nitril d'us general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Talla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XL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(paquet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100 </w:t>
            </w:r>
            <w:r>
              <w:rPr>
                <w:spacing w:val="-4"/>
                <w:sz w:val="16"/>
              </w:rPr>
              <w:t>un)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45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12,00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650" w:footer="591" w:top="1340" w:bottom="780" w:left="1133" w:right="992"/>
        </w:sectPr>
      </w:pPr>
    </w:p>
    <w:p>
      <w:pPr>
        <w:pStyle w:val="BodyText"/>
        <w:spacing w:before="2"/>
        <w:rPr>
          <w:rFonts w:ascii="Arial"/>
          <w:b/>
          <w:sz w:val="7"/>
        </w:rPr>
      </w:pPr>
    </w:p>
    <w:tbl>
      <w:tblPr>
        <w:tblW w:w="0" w:type="auto"/>
        <w:jc w:val="left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23"/>
        <w:gridCol w:w="1022"/>
        <w:gridCol w:w="1134"/>
        <w:gridCol w:w="992"/>
        <w:gridCol w:w="1134"/>
        <w:gridCol w:w="851"/>
        <w:gridCol w:w="850"/>
        <w:gridCol w:w="851"/>
      </w:tblGrid>
      <w:tr>
        <w:trPr>
          <w:trHeight w:val="300" w:hRule="atLeast"/>
        </w:trPr>
        <w:tc>
          <w:tcPr>
            <w:tcW w:w="2523" w:type="dxa"/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Joc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tornavisos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precisió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59,16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Jocs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15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broques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mixtes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per fusta, metall i obra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13,00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Llum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led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d'emergència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per automòbil homologat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60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33,60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51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 w:right="207"/>
              <w:rPr>
                <w:sz w:val="16"/>
              </w:rPr>
            </w:pPr>
            <w:r>
              <w:rPr>
                <w:sz w:val="16"/>
              </w:rPr>
              <w:t>Mosquetó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seguretat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amb bloqueig. Resistència mín. </w:t>
            </w:r>
            <w:r>
              <w:rPr>
                <w:spacing w:val="-4"/>
                <w:sz w:val="16"/>
              </w:rPr>
              <w:t>22KN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18,24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0" w:hRule="atLeast"/>
        </w:trPr>
        <w:tc>
          <w:tcPr>
            <w:tcW w:w="2523" w:type="dxa"/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Mosquetó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10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X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100</w:t>
            </w:r>
            <w:r>
              <w:rPr>
                <w:spacing w:val="-2"/>
                <w:sz w:val="16"/>
              </w:rPr>
              <w:t> ZINCAT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75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3,00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0" w:hRule="atLeast"/>
        </w:trPr>
        <w:tc>
          <w:tcPr>
            <w:tcW w:w="2523" w:type="dxa"/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Oli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lubrificant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6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38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8,00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 w:right="146"/>
              <w:rPr>
                <w:sz w:val="16"/>
              </w:rPr>
            </w:pPr>
            <w:r>
              <w:rPr>
                <w:sz w:val="16"/>
              </w:rPr>
              <w:t>Pantalla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protectora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facial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(No </w:t>
            </w:r>
            <w:r>
              <w:rPr>
                <w:spacing w:val="-4"/>
                <w:sz w:val="16"/>
              </w:rPr>
              <w:t>EPI)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50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7,50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Paquet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1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unitat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pila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9V </w:t>
            </w:r>
            <w:r>
              <w:rPr>
                <w:spacing w:val="-2"/>
                <w:sz w:val="16"/>
              </w:rPr>
              <w:t>6LR61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30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2,50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 w:right="146"/>
              <w:rPr>
                <w:sz w:val="16"/>
              </w:rPr>
            </w:pPr>
            <w:r>
              <w:rPr>
                <w:sz w:val="16"/>
              </w:rPr>
              <w:t>Paquet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1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unitat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pila </w:t>
            </w:r>
            <w:r>
              <w:rPr>
                <w:spacing w:val="-2"/>
                <w:sz w:val="16"/>
              </w:rPr>
              <w:t>V23GA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75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2,50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51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Paquets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Bosses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d'escombraries grans negres. Mida: 85 litres o superior equivalent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50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2,79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75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Paquets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2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unitats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piles alcalines - 1,5V LR 20D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25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2,85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Paquets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4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unitats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piles alcalines - 1,5V AA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1,78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Paquets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4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unitats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piles alcalines - 1,5V AAA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1,78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51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 w:right="207"/>
              <w:rPr>
                <w:sz w:val="16"/>
              </w:rPr>
            </w:pPr>
            <w:r>
              <w:rPr>
                <w:sz w:val="16"/>
              </w:rPr>
              <w:t>Paquets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brides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mitjanes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de 100 unitats Mida: 78mmx365mm aprox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30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9,00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51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 w:right="207"/>
              <w:rPr>
                <w:sz w:val="16"/>
              </w:rPr>
            </w:pPr>
            <w:r>
              <w:rPr>
                <w:sz w:val="16"/>
              </w:rPr>
              <w:t>Paquets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brides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petites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de 100 unitats Mida: 36mmx290mm aprox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30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4,53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51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Paquets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brides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grans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100 unitats. Mida: 78mmx750mm </w:t>
            </w:r>
            <w:r>
              <w:rPr>
                <w:spacing w:val="-2"/>
                <w:sz w:val="16"/>
              </w:rPr>
              <w:t>aprox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15,00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9" w:hRule="atLeast"/>
        </w:trPr>
        <w:tc>
          <w:tcPr>
            <w:tcW w:w="2523" w:type="dxa"/>
          </w:tcPr>
          <w:p>
            <w:pPr>
              <w:pStyle w:val="TableParagraph"/>
              <w:ind w:left="108" w:right="146"/>
              <w:rPr>
                <w:sz w:val="16"/>
              </w:rPr>
            </w:pPr>
            <w:r>
              <w:rPr>
                <w:sz w:val="16"/>
              </w:rPr>
              <w:t>Passador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sobreposar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 llautó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50mm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o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equivalent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40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9,00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Piles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botó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CR2025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Liti,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CR2032 Liti i equivalents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200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0,60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 w:right="146"/>
              <w:rPr>
                <w:sz w:val="16"/>
              </w:rPr>
            </w:pPr>
            <w:r>
              <w:rPr>
                <w:sz w:val="16"/>
              </w:rPr>
              <w:t>Piles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botó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CR2016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Liti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i </w:t>
            </w:r>
            <w:r>
              <w:rPr>
                <w:spacing w:val="-2"/>
                <w:sz w:val="16"/>
              </w:rPr>
              <w:t>equivalents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50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1,44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Pop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elàstic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125cm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rodó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8mm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o </w:t>
            </w:r>
            <w:r>
              <w:rPr>
                <w:spacing w:val="-2"/>
                <w:sz w:val="16"/>
              </w:rPr>
              <w:t>equivalents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6,00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0" w:hRule="atLeast"/>
        </w:trPr>
        <w:tc>
          <w:tcPr>
            <w:tcW w:w="2523" w:type="dxa"/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Rebladora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manual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12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50,00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Rebló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6mm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X12mm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(paquet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de 250 un)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15,00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51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 w:right="393"/>
              <w:jc w:val="both"/>
              <w:rPr>
                <w:sz w:val="16"/>
              </w:rPr>
            </w:pPr>
            <w:r>
              <w:rPr>
                <w:sz w:val="16"/>
              </w:rPr>
              <w:t>Rotllos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cadena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metàl·lica zincada 8mm x 50 metres o </w:t>
            </w:r>
            <w:r>
              <w:rPr>
                <w:spacing w:val="-2"/>
                <w:sz w:val="16"/>
              </w:rPr>
              <w:t>equivalent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168,20</w:t>
            </w:r>
            <w:r>
              <w:rPr>
                <w:spacing w:val="43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51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 w:right="490"/>
              <w:jc w:val="both"/>
              <w:rPr>
                <w:sz w:val="16"/>
              </w:rPr>
            </w:pPr>
            <w:r>
              <w:rPr>
                <w:sz w:val="16"/>
              </w:rPr>
              <w:t>Rotllos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cinta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adhesiva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 doble cara per paret Mida: </w:t>
            </w:r>
            <w:r>
              <w:rPr>
                <w:spacing w:val="-2"/>
                <w:sz w:val="16"/>
              </w:rPr>
              <w:t>50mmx30m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4,41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09" w:hRule="atLeast"/>
        </w:trPr>
        <w:tc>
          <w:tcPr>
            <w:tcW w:w="2523" w:type="dxa"/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Rotllos de cinta adhesiva transparent.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Mida: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50mmx30m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60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1,74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65" w:hRule="atLeast"/>
        </w:trPr>
        <w:tc>
          <w:tcPr>
            <w:tcW w:w="2523" w:type="dxa"/>
          </w:tcPr>
          <w:p>
            <w:pPr>
              <w:pStyle w:val="TableParagraph"/>
              <w:ind w:left="108" w:right="6"/>
              <w:rPr>
                <w:sz w:val="16"/>
              </w:rPr>
            </w:pPr>
            <w:r>
              <w:rPr>
                <w:sz w:val="16"/>
              </w:rPr>
              <w:t>Rotllos de cinta de carrosser Mida: 48 mmx45m format individual.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Paper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57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grms/m². Resistent fins 60º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50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2,56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Sivella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zincada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per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cinta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35 </w:t>
            </w:r>
            <w:r>
              <w:rPr>
                <w:spacing w:val="-6"/>
                <w:sz w:val="16"/>
              </w:rPr>
              <w:t>mm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75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0,90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0" w:hRule="atLeast"/>
        </w:trPr>
        <w:tc>
          <w:tcPr>
            <w:tcW w:w="2523" w:type="dxa"/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Tallavarilles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640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80,60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0" w:hRule="atLeast"/>
        </w:trPr>
        <w:tc>
          <w:tcPr>
            <w:tcW w:w="2523" w:type="dxa"/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Tenalla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Universal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> 25cm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35,00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51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 w:right="330"/>
              <w:jc w:val="both"/>
              <w:rPr>
                <w:sz w:val="16"/>
              </w:rPr>
            </w:pPr>
            <w:r>
              <w:rPr>
                <w:sz w:val="16"/>
              </w:rPr>
              <w:t>Trepant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percutor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amb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bateria 20V-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Carregador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Ràpid,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llum LED y bossa de transport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214,60</w:t>
            </w:r>
            <w:r>
              <w:rPr>
                <w:spacing w:val="43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 w:right="207"/>
              <w:rPr>
                <w:sz w:val="16"/>
              </w:rPr>
            </w:pPr>
            <w:r>
              <w:rPr>
                <w:sz w:val="16"/>
              </w:rPr>
              <w:t>Tubs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cola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contacte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125 ml transparent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40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9,40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 w:right="146"/>
              <w:rPr>
                <w:sz w:val="16"/>
              </w:rPr>
            </w:pPr>
            <w:r>
              <w:rPr>
                <w:sz w:val="16"/>
              </w:rPr>
              <w:t>Tubs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Mas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Clavos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340 </w:t>
            </w:r>
            <w:r>
              <w:rPr>
                <w:spacing w:val="-4"/>
                <w:sz w:val="16"/>
              </w:rPr>
              <w:t>grms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14,74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10" w:hRule="atLeast"/>
        </w:trPr>
        <w:tc>
          <w:tcPr>
            <w:tcW w:w="2523" w:type="dxa"/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Ulleres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seguretat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protecció balistica transparents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50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1,98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650" w:footer="591" w:top="1340" w:bottom="780" w:left="1133" w:right="992"/>
        </w:sectPr>
      </w:pPr>
    </w:p>
    <w:p>
      <w:pPr>
        <w:pStyle w:val="BodyText"/>
        <w:spacing w:before="106"/>
        <w:rPr>
          <w:rFonts w:ascii="Arial"/>
          <w:b/>
        </w:rPr>
      </w:pPr>
    </w:p>
    <w:tbl>
      <w:tblPr>
        <w:tblW w:w="0" w:type="auto"/>
        <w:jc w:val="left"/>
        <w:tblInd w:w="1147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rFonts w:ascii="Arial"/>
                <w:b/>
                <w:sz w:val="14"/>
              </w:rPr>
            </w:pPr>
          </w:p>
          <w:p>
            <w:pPr>
              <w:pStyle w:val="TableParagraph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rFonts w:ascii="Arial"/>
                <w:b/>
                <w:sz w:val="13"/>
              </w:rPr>
            </w:pPr>
          </w:p>
          <w:p>
            <w:pPr>
              <w:pStyle w:val="TableParagraph"/>
              <w:spacing w:line="155" w:lineRule="exact"/>
              <w:ind w:left="1275"/>
              <w:rPr>
                <w:rFonts w:ascii="Arial"/>
                <w:position w:val="-2"/>
                <w:sz w:val="15"/>
              </w:rPr>
            </w:pPr>
            <w:r>
              <w:rPr>
                <w:rFonts w:ascii="Arial"/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31" name="Group 3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1" name="Group 31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32" name="Image 32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3" name="Image 33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4" name="Image 34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5" name="Image 35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6" name="Image 36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7" name="Image 37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8" name="Image 38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9" name="Image 39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0" name="Image 40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1" name="Image 41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2" name="Image 42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3" name="Image 43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4" name="Image 44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5" name="Image 45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6" name="Image 46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7" name="Image 47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8" name="Image 48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9" name="Image 49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0" name="Image 50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1" name="Image 51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2" name="Image 52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3" name="Image 53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4" name="Image 54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27" coordorigin="0,0" coordsize="3531,155">
                      <v:shape style="position:absolute;left:456;top:0;width:140;height:155" type="#_x0000_t75" id="docshape28" stroked="false">
                        <v:imagedata r:id="rId8" o:title=""/>
                      </v:shape>
                      <v:shape style="position:absolute;left:304;top:0;width:140;height:155" type="#_x0000_t75" id="docshape29" stroked="false">
                        <v:imagedata r:id="rId9" o:title=""/>
                      </v:shape>
                      <v:shape style="position:absolute;left:152;top:0;width:125;height:155" type="#_x0000_t75" id="docshape30" stroked="false">
                        <v:imagedata r:id="rId10" o:title=""/>
                      </v:shape>
                      <v:shape style="position:absolute;left:0;top:0;width:100;height:155" type="#_x0000_t75" id="docshape31" stroked="false">
                        <v:imagedata r:id="rId11" o:title=""/>
                      </v:shape>
                      <v:shape style="position:absolute;left:1370;top:0;width:140;height:155" type="#_x0000_t75" id="docshape32" stroked="false">
                        <v:imagedata r:id="rId12" o:title=""/>
                      </v:shape>
                      <v:shape style="position:absolute;left:1218;top:0;width:140;height:155" type="#_x0000_t75" id="docshape33" stroked="false">
                        <v:imagedata r:id="rId13" o:title=""/>
                      </v:shape>
                      <v:shape style="position:absolute;left:1066;top:0;width:140;height:155" type="#_x0000_t75" id="docshape34" stroked="false">
                        <v:imagedata r:id="rId8" o:title=""/>
                      </v:shape>
                      <v:shape style="position:absolute;left:913;top:0;width:115;height:155" type="#_x0000_t75" id="docshape35" stroked="false">
                        <v:imagedata r:id="rId14" o:title=""/>
                      </v:shape>
                      <v:shape style="position:absolute;left:761;top:0;width:140;height:155" type="#_x0000_t75" id="docshape36" stroked="false">
                        <v:imagedata r:id="rId15" o:title=""/>
                      </v:shape>
                      <v:shape style="position:absolute;left:609;top:0;width:115;height:155" type="#_x0000_t75" id="docshape37" stroked="false">
                        <v:imagedata r:id="rId16" o:title=""/>
                      </v:shape>
                      <v:shape style="position:absolute;left:2436;top:0;width:140;height:155" type="#_x0000_t75" id="docshape38" stroked="false">
                        <v:imagedata r:id="rId8" o:title=""/>
                      </v:shape>
                      <v:shape style="position:absolute;left:2284;top:0;width:140;height:155" type="#_x0000_t75" id="docshape39" stroked="false">
                        <v:imagedata r:id="rId12" o:title=""/>
                      </v:shape>
                      <v:shape style="position:absolute;left:2132;top:0;width:140;height:155" type="#_x0000_t75" id="docshape40" stroked="false">
                        <v:imagedata r:id="rId17" o:title=""/>
                      </v:shape>
                      <v:shape style="position:absolute;left:1979;top:0;width:140;height:155" type="#_x0000_t75" id="docshape41" stroked="false">
                        <v:imagedata r:id="rId8" o:title=""/>
                      </v:shape>
                      <v:shape style="position:absolute;left:1827;top:0;width:125;height:155" type="#_x0000_t75" id="docshape42" stroked="false">
                        <v:imagedata r:id="rId10" o:title=""/>
                      </v:shape>
                      <v:shape style="position:absolute;left:1675;top:0;width:140;height:155" type="#_x0000_t75" id="docshape43" stroked="false">
                        <v:imagedata r:id="rId15" o:title=""/>
                      </v:shape>
                      <v:shape style="position:absolute;left:1523;top:0;width:140;height:155" type="#_x0000_t75" id="docshape44" stroked="false">
                        <v:imagedata r:id="rId13" o:title=""/>
                      </v:shape>
                      <v:shape style="position:absolute;left:3350;top:0;width:180;height:155" type="#_x0000_t75" id="docshape45" stroked="false">
                        <v:imagedata r:id="rId18" o:title=""/>
                      </v:shape>
                      <v:shape style="position:absolute;left:3198;top:0;width:100;height:155" type="#_x0000_t75" id="docshape46" stroked="false">
                        <v:imagedata r:id="rId19" o:title=""/>
                      </v:shape>
                      <v:shape style="position:absolute;left:3046;top:0;width:125;height:155" type="#_x0000_t75" id="docshape47" stroked="false">
                        <v:imagedata r:id="rId20" o:title=""/>
                      </v:shape>
                      <v:shape style="position:absolute;left:2893;top:0;width:140;height:155" type="#_x0000_t75" id="docshape48" stroked="false">
                        <v:imagedata r:id="rId21" o:title=""/>
                      </v:shape>
                      <v:shape style="position:absolute;left:2741;top:0;width:140;height:155" type="#_x0000_t75" id="docshape49" stroked="false">
                        <v:imagedata r:id="rId8" o:title=""/>
                      </v:shape>
                      <v:shape style="position:absolute;left:2589;top:0;width:140;height:155" type="#_x0000_t75" id="docshape50" stroked="false">
                        <v:imagedata r:id="rId12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0"/>
              <w:jc w:val="center"/>
              <w:rPr>
                <w:sz w:val="14"/>
              </w:rPr>
            </w:pPr>
            <w:r>
              <w:rPr>
                <w:sz w:val="14"/>
              </w:rPr>
              <w:t>3Z2E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4D2F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1F43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2U12</w:t>
            </w:r>
            <w:r>
              <w:rPr>
                <w:spacing w:val="-1"/>
                <w:sz w:val="14"/>
              </w:rPr>
              <w:t> </w:t>
            </w:r>
            <w:r>
              <w:rPr>
                <w:spacing w:val="-4"/>
                <w:sz w:val="14"/>
              </w:rPr>
              <w:t>12T6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spacing w:before="133"/>
              <w:ind w:left="155"/>
              <w:rPr>
                <w:sz w:val="14"/>
              </w:rPr>
            </w:pPr>
            <w:r>
              <w:rPr>
                <w:spacing w:val="-2"/>
                <w:sz w:val="14"/>
              </w:rPr>
              <w:t>SGT/2025/894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SGT19I02W4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spacing w:before="133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spacing w:before="133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21-05-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/>
              <w:rPr>
                <w:sz w:val="14"/>
              </w:rPr>
            </w:pPr>
            <w:r>
              <w:rPr>
                <w:sz w:val="14"/>
              </w:rPr>
              <w:t>POSS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productes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ferreteria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consumibles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per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unitat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recursos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materials de la PMS</w:t>
            </w:r>
          </w:p>
        </w:tc>
      </w:tr>
    </w:tbl>
    <w:p>
      <w:pPr>
        <w:pStyle w:val="BodyText"/>
        <w:rPr>
          <w:rFonts w:ascii="Arial"/>
          <w:b/>
        </w:rPr>
      </w:pPr>
    </w:p>
    <w:p>
      <w:pPr>
        <w:pStyle w:val="BodyText"/>
        <w:spacing w:before="49"/>
        <w:rPr>
          <w:rFonts w:ascii="Arial"/>
          <w:b/>
        </w:rPr>
      </w:pPr>
    </w:p>
    <w:tbl>
      <w:tblPr>
        <w:tblW w:w="0" w:type="auto"/>
        <w:jc w:val="left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23"/>
        <w:gridCol w:w="1022"/>
        <w:gridCol w:w="1134"/>
        <w:gridCol w:w="992"/>
        <w:gridCol w:w="1134"/>
        <w:gridCol w:w="851"/>
        <w:gridCol w:w="850"/>
        <w:gridCol w:w="851"/>
      </w:tblGrid>
      <w:tr>
        <w:trPr>
          <w:trHeight w:val="510" w:hRule="atLeast"/>
        </w:trPr>
        <w:tc>
          <w:tcPr>
            <w:tcW w:w="2523" w:type="dxa"/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policarbonat</w:t>
            </w:r>
          </w:p>
        </w:tc>
        <w:tc>
          <w:tcPr>
            <w:tcW w:w="10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Ulleres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seguretat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resitent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 </w:t>
            </w:r>
            <w:r>
              <w:rPr>
                <w:spacing w:val="-2"/>
                <w:sz w:val="16"/>
              </w:rPr>
              <w:t>impactes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7,50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Unitats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d'adhesiu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extrafort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paret </w:t>
            </w:r>
            <w:r>
              <w:rPr>
                <w:spacing w:val="-2"/>
                <w:sz w:val="16"/>
              </w:rPr>
              <w:t>400ml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25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17,64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10" w:hRule="atLeast"/>
        </w:trPr>
        <w:tc>
          <w:tcPr>
            <w:tcW w:w="2523" w:type="dxa"/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Unitats de tacs del 6mm i 8mm especial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pladur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(caixa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50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unds)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250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0,12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10" w:hRule="atLeast"/>
        </w:trPr>
        <w:tc>
          <w:tcPr>
            <w:tcW w:w="2523" w:type="dxa"/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Unitats d'insecticida contra formigues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paneroles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400ml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13,23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10" w:hRule="atLeast"/>
        </w:trPr>
        <w:tc>
          <w:tcPr>
            <w:tcW w:w="2523" w:type="dxa"/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Unitats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d'insecticida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contra mosques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mosquits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400ml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12,07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Volandera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6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mm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(paquet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de 200 un)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10,00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Volandera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8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mm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(paquet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de 200 un)</w:t>
            </w:r>
          </w:p>
        </w:tc>
        <w:tc>
          <w:tcPr>
            <w:tcW w:w="1022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4" w:type="dxa"/>
          </w:tcPr>
          <w:p>
            <w:pPr>
              <w:pStyle w:val="TableParagraph"/>
              <w:ind w:right="97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12,00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rPr>
          <w:rFonts w:ascii="Arial"/>
          <w:b/>
        </w:rPr>
      </w:pPr>
    </w:p>
    <w:p>
      <w:pPr>
        <w:pStyle w:val="BodyText"/>
        <w:spacing w:before="3" w:after="1"/>
        <w:rPr>
          <w:rFonts w:ascii="Arial"/>
          <w:b/>
        </w:rPr>
      </w:pPr>
    </w:p>
    <w:tbl>
      <w:tblPr>
        <w:tblW w:w="0" w:type="auto"/>
        <w:jc w:val="left"/>
        <w:tblInd w:w="5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82"/>
        <w:gridCol w:w="2690"/>
        <w:gridCol w:w="2941"/>
      </w:tblGrid>
      <w:tr>
        <w:trPr>
          <w:trHeight w:val="413" w:hRule="atLeast"/>
        </w:trPr>
        <w:tc>
          <w:tcPr>
            <w:tcW w:w="2982" w:type="dxa"/>
          </w:tcPr>
          <w:p>
            <w:pPr>
              <w:pStyle w:val="TableParagraph"/>
              <w:spacing w:line="200" w:lineRule="atLeast"/>
              <w:ind w:left="1216" w:hanging="110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Pressupost</w:t>
            </w:r>
            <w:r>
              <w:rPr>
                <w:rFonts w:ascii="Arial" w:hAnsi="Arial"/>
                <w:b/>
                <w:spacing w:val="-13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base</w:t>
            </w:r>
            <w:r>
              <w:rPr>
                <w:rFonts w:ascii="Arial" w:hAnsi="Arial"/>
                <w:b/>
                <w:spacing w:val="-10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de</w:t>
            </w:r>
            <w:r>
              <w:rPr>
                <w:rFonts w:ascii="Arial" w:hAnsi="Arial"/>
                <w:b/>
                <w:spacing w:val="-11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licitació,</w:t>
            </w:r>
            <w:r>
              <w:rPr>
                <w:rFonts w:ascii="Arial" w:hAnsi="Arial"/>
                <w:b/>
                <w:spacing w:val="-10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IVA exclòs</w:t>
            </w:r>
          </w:p>
        </w:tc>
        <w:tc>
          <w:tcPr>
            <w:tcW w:w="2690" w:type="dxa"/>
          </w:tcPr>
          <w:p>
            <w:pPr>
              <w:pStyle w:val="TableParagraph"/>
              <w:ind w:left="1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IVA</w:t>
            </w:r>
            <w:r>
              <w:rPr>
                <w:rFonts w:ascii="Arial"/>
                <w:b/>
                <w:spacing w:val="-9"/>
                <w:sz w:val="18"/>
              </w:rPr>
              <w:t> </w:t>
            </w:r>
            <w:r>
              <w:rPr>
                <w:rFonts w:ascii="Arial"/>
                <w:b/>
                <w:spacing w:val="-5"/>
                <w:sz w:val="18"/>
              </w:rPr>
              <w:t>21%</w:t>
            </w:r>
          </w:p>
        </w:tc>
        <w:tc>
          <w:tcPr>
            <w:tcW w:w="2941" w:type="dxa"/>
          </w:tcPr>
          <w:p>
            <w:pPr>
              <w:pStyle w:val="TableParagraph"/>
              <w:spacing w:line="200" w:lineRule="atLeast"/>
              <w:ind w:left="1045" w:hanging="78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Pressupost</w:t>
            </w:r>
            <w:r>
              <w:rPr>
                <w:rFonts w:ascii="Arial" w:hAnsi="Arial"/>
                <w:b/>
                <w:spacing w:val="-11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base</w:t>
            </w:r>
            <w:r>
              <w:rPr>
                <w:rFonts w:ascii="Arial" w:hAnsi="Arial"/>
                <w:b/>
                <w:spacing w:val="-10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de</w:t>
            </w:r>
            <w:r>
              <w:rPr>
                <w:rFonts w:ascii="Arial" w:hAnsi="Arial"/>
                <w:b/>
                <w:spacing w:val="-11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licitació, </w:t>
            </w:r>
            <w:r>
              <w:rPr>
                <w:rFonts w:ascii="Arial" w:hAnsi="Arial"/>
                <w:b/>
                <w:sz w:val="18"/>
              </w:rPr>
              <w:t>IVA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inclòs</w:t>
            </w:r>
          </w:p>
        </w:tc>
      </w:tr>
      <w:tr>
        <w:trPr>
          <w:trHeight w:val="206" w:hRule="atLeast"/>
        </w:trPr>
        <w:tc>
          <w:tcPr>
            <w:tcW w:w="2982" w:type="dxa"/>
          </w:tcPr>
          <w:p>
            <w:pPr>
              <w:pStyle w:val="TableParagraph"/>
              <w:spacing w:line="187" w:lineRule="exact"/>
              <w:ind w:left="1572"/>
              <w:rPr>
                <w:sz w:val="18"/>
              </w:rPr>
            </w:pPr>
            <w:r>
              <w:rPr>
                <w:sz w:val="18"/>
              </w:rPr>
              <w:t>29.193,14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2690" w:type="dxa"/>
          </w:tcPr>
          <w:p>
            <w:pPr>
              <w:pStyle w:val="TableParagraph"/>
              <w:spacing w:line="187" w:lineRule="exact"/>
              <w:ind w:left="1381"/>
              <w:rPr>
                <w:sz w:val="18"/>
              </w:rPr>
            </w:pPr>
            <w:r>
              <w:rPr>
                <w:sz w:val="18"/>
              </w:rPr>
              <w:t>6.130,56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2941" w:type="dxa"/>
          </w:tcPr>
          <w:p>
            <w:pPr>
              <w:pStyle w:val="TableParagraph"/>
              <w:spacing w:line="187" w:lineRule="exact"/>
              <w:ind w:left="1531"/>
              <w:rPr>
                <w:sz w:val="18"/>
              </w:rPr>
            </w:pPr>
            <w:r>
              <w:rPr>
                <w:sz w:val="18"/>
              </w:rPr>
              <w:t>35.323,70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>
      <w:pPr>
        <w:pStyle w:val="BodyText"/>
        <w:spacing w:before="47"/>
        <w:rPr>
          <w:rFonts w:ascii="Arial"/>
          <w:b/>
          <w:sz w:val="16"/>
        </w:rPr>
      </w:pPr>
    </w:p>
    <w:p>
      <w:pPr>
        <w:spacing w:before="1"/>
        <w:ind w:left="568" w:right="0" w:firstLine="0"/>
        <w:jc w:val="left"/>
        <w:rPr>
          <w:sz w:val="16"/>
        </w:rPr>
      </w:pPr>
      <w:r>
        <w:rPr>
          <w:spacing w:val="-2"/>
          <w:sz w:val="16"/>
        </w:rPr>
        <w:t>A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complimentar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per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part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de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l’empresa,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només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les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cel·les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ombrejades:</w:t>
      </w:r>
    </w:p>
    <w:tbl>
      <w:tblPr>
        <w:tblW w:w="0" w:type="auto"/>
        <w:jc w:val="left"/>
        <w:tblInd w:w="5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19"/>
        <w:gridCol w:w="2835"/>
        <w:gridCol w:w="3118"/>
      </w:tblGrid>
      <w:tr>
        <w:trPr>
          <w:trHeight w:val="413" w:hRule="atLeast"/>
        </w:trPr>
        <w:tc>
          <w:tcPr>
            <w:tcW w:w="3119" w:type="dxa"/>
          </w:tcPr>
          <w:p>
            <w:pPr>
              <w:pStyle w:val="TableParagraph"/>
              <w:ind w:left="21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Import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TOTAL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del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lot,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sense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5"/>
                <w:sz w:val="18"/>
              </w:rPr>
              <w:t>IVA</w:t>
            </w:r>
          </w:p>
        </w:tc>
        <w:tc>
          <w:tcPr>
            <w:tcW w:w="2835" w:type="dxa"/>
          </w:tcPr>
          <w:p>
            <w:pPr>
              <w:pStyle w:val="TableParagraph"/>
              <w:spacing w:line="200" w:lineRule="atLeast"/>
              <w:ind w:left="204" w:right="178" w:hanging="5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Import</w:t>
            </w:r>
            <w:r>
              <w:rPr>
                <w:rFonts w:ascii="Arial" w:hAnsi="Arial"/>
                <w:b/>
                <w:spacing w:val="-1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TOTAL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1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l’IVA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</w:t>
            </w:r>
            <w:r>
              <w:rPr>
                <w:rFonts w:ascii="Arial" w:hAnsi="Arial"/>
                <w:b/>
                <w:spacing w:val="-1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 </w:t>
            </w:r>
            <w:r>
              <w:rPr>
                <w:rFonts w:ascii="Arial" w:hAnsi="Arial"/>
                <w:b/>
                <w:spacing w:val="-2"/>
                <w:sz w:val="18"/>
              </w:rPr>
              <w:t>partida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independent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IVA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pacing w:val="-5"/>
                <w:sz w:val="18"/>
              </w:rPr>
              <w:t>21%</w:t>
            </w:r>
          </w:p>
        </w:tc>
        <w:tc>
          <w:tcPr>
            <w:tcW w:w="3118" w:type="dxa"/>
          </w:tcPr>
          <w:p>
            <w:pPr>
              <w:pStyle w:val="TableParagraph"/>
              <w:spacing w:line="200" w:lineRule="atLeast"/>
              <w:ind w:left="1304" w:hanging="1035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Import</w:t>
            </w:r>
            <w:r>
              <w:rPr>
                <w:rFonts w:ascii="Arial" w:hAnsi="Arial"/>
                <w:b/>
                <w:spacing w:val="-9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TOTAL</w:t>
            </w:r>
            <w:r>
              <w:rPr>
                <w:rFonts w:ascii="Arial" w:hAnsi="Arial"/>
                <w:b/>
                <w:spacing w:val="-9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del</w:t>
            </w:r>
            <w:r>
              <w:rPr>
                <w:rFonts w:ascii="Arial" w:hAnsi="Arial"/>
                <w:b/>
                <w:spacing w:val="-10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lot</w:t>
            </w:r>
            <w:r>
              <w:rPr>
                <w:rFonts w:ascii="Arial" w:hAnsi="Arial"/>
                <w:b/>
                <w:spacing w:val="-9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ofert,</w:t>
            </w:r>
            <w:r>
              <w:rPr>
                <w:rFonts w:ascii="Arial" w:hAnsi="Arial"/>
                <w:b/>
                <w:spacing w:val="-10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IVA inclòs</w:t>
            </w:r>
          </w:p>
        </w:tc>
      </w:tr>
      <w:tr>
        <w:trPr>
          <w:trHeight w:val="206" w:hRule="atLeast"/>
        </w:trPr>
        <w:tc>
          <w:tcPr>
            <w:tcW w:w="3119" w:type="dxa"/>
            <w:shd w:val="clear" w:color="auto" w:fill="A6A6A6"/>
          </w:tcPr>
          <w:p>
            <w:pPr>
              <w:pStyle w:val="TableParagraph"/>
              <w:spacing w:line="187" w:lineRule="exact"/>
              <w:ind w:right="9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2835" w:type="dxa"/>
            <w:shd w:val="clear" w:color="auto" w:fill="A6A6A6"/>
          </w:tcPr>
          <w:p>
            <w:pPr>
              <w:pStyle w:val="TableParagraph"/>
              <w:spacing w:line="187" w:lineRule="exact"/>
              <w:ind w:right="9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3118" w:type="dxa"/>
            <w:shd w:val="clear" w:color="auto" w:fill="A6A6A6"/>
          </w:tcPr>
          <w:p>
            <w:pPr>
              <w:pStyle w:val="TableParagraph"/>
              <w:spacing w:line="187" w:lineRule="exact"/>
              <w:ind w:right="9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euros</w:t>
            </w:r>
          </w:p>
        </w:tc>
      </w:tr>
    </w:tbl>
    <w:p>
      <w:pPr>
        <w:pStyle w:val="BodyText"/>
        <w:rPr>
          <w:sz w:val="16"/>
        </w:rPr>
      </w:pPr>
    </w:p>
    <w:p>
      <w:pPr>
        <w:pStyle w:val="BodyText"/>
        <w:spacing w:before="93"/>
        <w:rPr>
          <w:sz w:val="16"/>
        </w:rPr>
      </w:pPr>
    </w:p>
    <w:p>
      <w:pPr>
        <w:spacing w:before="1"/>
        <w:ind w:left="568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  <w:u w:val="single"/>
        </w:rPr>
        <w:t>Lot</w:t>
      </w:r>
      <w:r>
        <w:rPr>
          <w:rFonts w:ascii="Arial"/>
          <w:b/>
          <w:spacing w:val="-6"/>
          <w:sz w:val="20"/>
          <w:u w:val="single"/>
        </w:rPr>
        <w:t> </w:t>
      </w:r>
      <w:r>
        <w:rPr>
          <w:rFonts w:ascii="Arial"/>
          <w:b/>
          <w:spacing w:val="-2"/>
          <w:sz w:val="20"/>
          <w:u w:val="single"/>
        </w:rPr>
        <w:t>2</w:t>
      </w:r>
      <w:r>
        <w:rPr>
          <w:rFonts w:ascii="Arial"/>
          <w:b/>
          <w:spacing w:val="-4"/>
          <w:sz w:val="20"/>
          <w:u w:val="single"/>
        </w:rPr>
        <w:t> </w:t>
      </w:r>
      <w:r>
        <w:rPr>
          <w:rFonts w:ascii="Arial"/>
          <w:b/>
          <w:spacing w:val="-2"/>
          <w:sz w:val="20"/>
          <w:u w:val="single"/>
        </w:rPr>
        <w:t>-</w:t>
      </w:r>
      <w:r>
        <w:rPr>
          <w:rFonts w:ascii="Arial"/>
          <w:b/>
          <w:spacing w:val="-4"/>
          <w:sz w:val="20"/>
          <w:u w:val="single"/>
        </w:rPr>
        <w:t> </w:t>
      </w:r>
      <w:r>
        <w:rPr>
          <w:rFonts w:ascii="Arial"/>
          <w:b/>
          <w:spacing w:val="-2"/>
          <w:sz w:val="20"/>
          <w:u w:val="single"/>
        </w:rPr>
        <w:t>Subministrament</w:t>
      </w:r>
      <w:r>
        <w:rPr>
          <w:rFonts w:ascii="Arial"/>
          <w:b/>
          <w:spacing w:val="-4"/>
          <w:sz w:val="20"/>
          <w:u w:val="single"/>
        </w:rPr>
        <w:t> </w:t>
      </w:r>
      <w:r>
        <w:rPr>
          <w:rFonts w:ascii="Arial"/>
          <w:b/>
          <w:spacing w:val="-2"/>
          <w:sz w:val="20"/>
          <w:u w:val="single"/>
        </w:rPr>
        <w:t>material</w:t>
      </w:r>
      <w:r>
        <w:rPr>
          <w:rFonts w:ascii="Arial"/>
          <w:b/>
          <w:spacing w:val="-5"/>
          <w:sz w:val="20"/>
          <w:u w:val="single"/>
        </w:rPr>
        <w:t> </w:t>
      </w:r>
      <w:r>
        <w:rPr>
          <w:rFonts w:ascii="Arial"/>
          <w:b/>
          <w:spacing w:val="-2"/>
          <w:sz w:val="20"/>
          <w:u w:val="single"/>
        </w:rPr>
        <w:t>de</w:t>
      </w:r>
      <w:r>
        <w:rPr>
          <w:rFonts w:ascii="Arial"/>
          <w:b/>
          <w:spacing w:val="-5"/>
          <w:sz w:val="20"/>
          <w:u w:val="single"/>
        </w:rPr>
        <w:t> </w:t>
      </w:r>
      <w:r>
        <w:rPr>
          <w:rFonts w:ascii="Arial"/>
          <w:b/>
          <w:spacing w:val="-2"/>
          <w:sz w:val="20"/>
          <w:u w:val="single"/>
        </w:rPr>
        <w:t>seguretat</w:t>
      </w:r>
      <w:r>
        <w:rPr>
          <w:rFonts w:ascii="Arial"/>
          <w:b/>
          <w:spacing w:val="-4"/>
          <w:sz w:val="20"/>
          <w:u w:val="single"/>
        </w:rPr>
        <w:t> </w:t>
      </w:r>
      <w:r>
        <w:rPr>
          <w:rFonts w:ascii="Arial"/>
          <w:b/>
          <w:spacing w:val="-2"/>
          <w:sz w:val="20"/>
          <w:u w:val="single"/>
        </w:rPr>
        <w:t>viaria:</w:t>
      </w:r>
    </w:p>
    <w:p>
      <w:pPr>
        <w:spacing w:before="230"/>
        <w:ind w:left="568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Criteri</w:t>
      </w:r>
      <w:r>
        <w:rPr>
          <w:rFonts w:ascii="Arial" w:hAnsi="Arial"/>
          <w:b/>
          <w:spacing w:val="-7"/>
          <w:sz w:val="20"/>
        </w:rPr>
        <w:t> </w:t>
      </w:r>
      <w:r>
        <w:rPr>
          <w:rFonts w:ascii="Arial" w:hAnsi="Arial"/>
          <w:b/>
          <w:spacing w:val="-2"/>
          <w:sz w:val="20"/>
        </w:rPr>
        <w:t>d’adjudicació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pacing w:val="-2"/>
          <w:sz w:val="20"/>
        </w:rPr>
        <w:t>únic:</w:t>
      </w:r>
      <w:r>
        <w:rPr>
          <w:rFonts w:ascii="Arial" w:hAnsi="Arial"/>
          <w:b/>
          <w:spacing w:val="-6"/>
          <w:sz w:val="20"/>
        </w:rPr>
        <w:t> </w:t>
      </w:r>
      <w:r>
        <w:rPr>
          <w:rFonts w:ascii="Arial" w:hAnsi="Arial"/>
          <w:b/>
          <w:spacing w:val="-2"/>
          <w:sz w:val="20"/>
        </w:rPr>
        <w:t>Millora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pacing w:val="-2"/>
          <w:sz w:val="20"/>
        </w:rPr>
        <w:t>econòmica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pacing w:val="-2"/>
          <w:sz w:val="20"/>
        </w:rPr>
        <w:t>en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pacing w:val="-2"/>
          <w:sz w:val="20"/>
        </w:rPr>
        <w:t>el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pacing w:val="-2"/>
          <w:sz w:val="20"/>
        </w:rPr>
        <w:t>preu.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pacing w:val="-2"/>
          <w:sz w:val="20"/>
        </w:rPr>
        <w:t>(Puntuació</w:t>
      </w:r>
      <w:r>
        <w:rPr>
          <w:rFonts w:ascii="Arial" w:hAnsi="Arial"/>
          <w:b/>
          <w:spacing w:val="-6"/>
          <w:sz w:val="20"/>
        </w:rPr>
        <w:t> </w:t>
      </w:r>
      <w:r>
        <w:rPr>
          <w:rFonts w:ascii="Arial" w:hAnsi="Arial"/>
          <w:b/>
          <w:spacing w:val="-2"/>
          <w:sz w:val="20"/>
        </w:rPr>
        <w:t>màxima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pacing w:val="-2"/>
          <w:sz w:val="20"/>
        </w:rPr>
        <w:t>100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pacing w:val="-2"/>
          <w:sz w:val="20"/>
        </w:rPr>
        <w:t>punts)</w:t>
      </w:r>
    </w:p>
    <w:p>
      <w:pPr>
        <w:pStyle w:val="BodyText"/>
        <w:spacing w:before="11"/>
        <w:rPr>
          <w:rFonts w:ascii="Arial"/>
          <w:b/>
          <w:sz w:val="19"/>
        </w:rPr>
      </w:pPr>
    </w:p>
    <w:tbl>
      <w:tblPr>
        <w:tblW w:w="0" w:type="auto"/>
        <w:jc w:val="left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23"/>
        <w:gridCol w:w="1134"/>
        <w:gridCol w:w="1021"/>
        <w:gridCol w:w="993"/>
        <w:gridCol w:w="1134"/>
        <w:gridCol w:w="851"/>
        <w:gridCol w:w="850"/>
        <w:gridCol w:w="851"/>
      </w:tblGrid>
      <w:tr>
        <w:trPr>
          <w:trHeight w:val="1103" w:hRule="atLeast"/>
        </w:trPr>
        <w:tc>
          <w:tcPr>
            <w:tcW w:w="2523" w:type="dxa"/>
          </w:tcPr>
          <w:p>
            <w:pPr>
              <w:pStyle w:val="TableParagraph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spacing w:before="91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spacing w:before="1"/>
              <w:ind w:left="26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Descripció</w:t>
            </w:r>
            <w:r>
              <w:rPr>
                <w:rFonts w:ascii="Arial" w:hAnsi="Arial"/>
                <w:b/>
                <w:spacing w:val="-5"/>
                <w:sz w:val="16"/>
              </w:rPr>
              <w:t> </w:t>
            </w:r>
            <w:r>
              <w:rPr>
                <w:rFonts w:ascii="Arial" w:hAnsi="Arial"/>
                <w:b/>
                <w:spacing w:val="-2"/>
                <w:sz w:val="16"/>
              </w:rPr>
              <w:t>material/article</w:t>
            </w:r>
          </w:p>
        </w:tc>
        <w:tc>
          <w:tcPr>
            <w:tcW w:w="1134" w:type="dxa"/>
          </w:tcPr>
          <w:p>
            <w:pPr>
              <w:pStyle w:val="TableParagraph"/>
              <w:spacing w:before="91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spacing w:before="1"/>
              <w:ind w:left="98" w:right="8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Unitats estimades Totals</w:t>
            </w:r>
          </w:p>
        </w:tc>
        <w:tc>
          <w:tcPr>
            <w:tcW w:w="1021" w:type="dxa"/>
          </w:tcPr>
          <w:p>
            <w:pPr>
              <w:pStyle w:val="TableParagraph"/>
              <w:spacing w:before="92"/>
              <w:ind w:left="124" w:right="112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4"/>
                <w:sz w:val="16"/>
              </w:rPr>
              <w:t>Preu </w:t>
            </w:r>
            <w:r>
              <w:rPr>
                <w:rFonts w:ascii="Arial" w:hAnsi="Arial"/>
                <w:b/>
                <w:spacing w:val="-2"/>
                <w:sz w:val="16"/>
              </w:rPr>
              <w:t>unitari </w:t>
            </w:r>
            <w:r>
              <w:rPr>
                <w:rFonts w:ascii="Arial" w:hAnsi="Arial"/>
                <w:b/>
                <w:sz w:val="16"/>
              </w:rPr>
              <w:t>màxim</w:t>
            </w:r>
            <w:r>
              <w:rPr>
                <w:rFonts w:ascii="Arial" w:hAnsi="Arial"/>
                <w:b/>
                <w:spacing w:val="-1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 </w:t>
            </w:r>
            <w:r>
              <w:rPr>
                <w:rFonts w:ascii="Arial" w:hAnsi="Arial"/>
                <w:b/>
                <w:spacing w:val="-2"/>
                <w:sz w:val="16"/>
              </w:rPr>
              <w:t>licitació </w:t>
            </w:r>
            <w:r>
              <w:rPr>
                <w:rFonts w:ascii="Arial" w:hAnsi="Arial"/>
                <w:b/>
                <w:sz w:val="16"/>
              </w:rPr>
              <w:t>sense</w:t>
            </w:r>
            <w:r>
              <w:rPr>
                <w:rFonts w:ascii="Arial" w:hAnsi="Arial"/>
                <w:b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spacing w:val="-5"/>
                <w:sz w:val="16"/>
              </w:rPr>
              <w:t>IVA</w:t>
            </w:r>
          </w:p>
        </w:tc>
        <w:tc>
          <w:tcPr>
            <w:tcW w:w="993" w:type="dxa"/>
          </w:tcPr>
          <w:p>
            <w:pPr>
              <w:pStyle w:val="TableParagraph"/>
              <w:spacing w:before="184"/>
              <w:ind w:left="114" w:right="10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Preu </w:t>
            </w:r>
            <w:r>
              <w:rPr>
                <w:rFonts w:ascii="Arial"/>
                <w:b/>
                <w:spacing w:val="-2"/>
                <w:sz w:val="16"/>
              </w:rPr>
              <w:t>unitari ofert </w:t>
            </w:r>
            <w:r>
              <w:rPr>
                <w:rFonts w:ascii="Arial"/>
                <w:b/>
                <w:sz w:val="16"/>
              </w:rPr>
              <w:t>sense</w:t>
            </w:r>
            <w:r>
              <w:rPr>
                <w:rFonts w:ascii="Arial"/>
                <w:b/>
                <w:spacing w:val="-12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IVA</w:t>
            </w:r>
          </w:p>
        </w:tc>
        <w:tc>
          <w:tcPr>
            <w:tcW w:w="1134" w:type="dxa"/>
          </w:tcPr>
          <w:p>
            <w:pPr>
              <w:pStyle w:val="TableParagraph"/>
              <w:spacing w:before="91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spacing w:before="1"/>
              <w:ind w:left="98" w:right="8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Preu</w:t>
            </w:r>
            <w:r>
              <w:rPr>
                <w:rFonts w:ascii="Arial"/>
                <w:b/>
                <w:spacing w:val="-12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unitari </w:t>
            </w:r>
            <w:r>
              <w:rPr>
                <w:rFonts w:ascii="Arial"/>
                <w:b/>
                <w:spacing w:val="-2"/>
                <w:sz w:val="16"/>
              </w:rPr>
              <w:t>ofert</w:t>
            </w:r>
          </w:p>
          <w:p>
            <w:pPr>
              <w:pStyle w:val="TableParagraph"/>
              <w:ind w:left="98" w:right="89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IVA</w:t>
            </w:r>
            <w:r>
              <w:rPr>
                <w:rFonts w:ascii="Arial" w:hAnsi="Arial"/>
                <w:b/>
                <w:spacing w:val="-2"/>
                <w:sz w:val="16"/>
              </w:rPr>
              <w:t> inclòs</w:t>
            </w:r>
          </w:p>
        </w:tc>
        <w:tc>
          <w:tcPr>
            <w:tcW w:w="851" w:type="dxa"/>
          </w:tcPr>
          <w:p>
            <w:pPr>
              <w:pStyle w:val="TableParagraph"/>
              <w:spacing w:before="184"/>
              <w:ind w:left="125" w:right="11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Import total sense </w:t>
            </w:r>
            <w:r>
              <w:rPr>
                <w:rFonts w:ascii="Arial"/>
                <w:b/>
                <w:spacing w:val="-4"/>
                <w:sz w:val="16"/>
              </w:rPr>
              <w:t>IVA</w:t>
            </w:r>
          </w:p>
        </w:tc>
        <w:tc>
          <w:tcPr>
            <w:tcW w:w="850" w:type="dxa"/>
          </w:tcPr>
          <w:p>
            <w:pPr>
              <w:pStyle w:val="TableParagraph"/>
              <w:spacing w:before="184"/>
              <w:ind w:left="131" w:right="113" w:firstLine="44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Import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pacing w:val="-2"/>
                <w:sz w:val="16"/>
              </w:rPr>
              <w:t>l’IVA</w:t>
            </w:r>
          </w:p>
          <w:p>
            <w:pPr>
              <w:pStyle w:val="TableParagraph"/>
              <w:tabs>
                <w:tab w:pos="503" w:val="left" w:leader="none"/>
              </w:tabs>
              <w:ind w:left="19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  <w:u w:val="single"/>
              </w:rPr>
              <w:tab/>
            </w:r>
            <w:r>
              <w:rPr>
                <w:rFonts w:ascii="Arial"/>
                <w:b/>
                <w:spacing w:val="-10"/>
                <w:sz w:val="16"/>
              </w:rPr>
              <w:t>%</w:t>
            </w:r>
          </w:p>
        </w:tc>
        <w:tc>
          <w:tcPr>
            <w:tcW w:w="851" w:type="dxa"/>
          </w:tcPr>
          <w:p>
            <w:pPr>
              <w:pStyle w:val="TableParagraph"/>
              <w:spacing w:before="184"/>
              <w:ind w:left="125" w:right="11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Import total ofert, </w:t>
            </w:r>
            <w:r>
              <w:rPr>
                <w:rFonts w:ascii="Arial"/>
                <w:b/>
                <w:spacing w:val="-4"/>
                <w:sz w:val="16"/>
              </w:rPr>
              <w:t>IVA</w:t>
            </w:r>
          </w:p>
          <w:p>
            <w:pPr>
              <w:pStyle w:val="TableParagraph"/>
              <w:spacing w:line="164" w:lineRule="exact"/>
              <w:ind w:left="125" w:right="11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inclòs</w:t>
            </w:r>
          </w:p>
        </w:tc>
      </w:tr>
      <w:tr>
        <w:trPr>
          <w:trHeight w:val="551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 w:right="146"/>
              <w:rPr>
                <w:sz w:val="16"/>
              </w:rPr>
            </w:pPr>
            <w:r>
              <w:rPr>
                <w:sz w:val="16"/>
              </w:rPr>
              <w:t>Cinta abalisament personalitzada a dues cares i dos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colors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(Bobines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100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m)</w:t>
            </w:r>
          </w:p>
        </w:tc>
        <w:tc>
          <w:tcPr>
            <w:tcW w:w="1134" w:type="dxa"/>
          </w:tcPr>
          <w:p>
            <w:pPr>
              <w:pStyle w:val="TableParagraph"/>
              <w:ind w:left="98" w:right="8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375</w:t>
            </w:r>
          </w:p>
        </w:tc>
        <w:tc>
          <w:tcPr>
            <w:tcW w:w="1021" w:type="dxa"/>
          </w:tcPr>
          <w:p>
            <w:pPr>
              <w:pStyle w:val="TableParagraph"/>
              <w:ind w:left="124" w:right="114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20,80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3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Cons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(tetràpodes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apilables) </w:t>
            </w:r>
            <w:r>
              <w:rPr>
                <w:spacing w:val="-2"/>
                <w:sz w:val="16"/>
              </w:rPr>
              <w:t>taronges/vermells</w:t>
            </w:r>
          </w:p>
        </w:tc>
        <w:tc>
          <w:tcPr>
            <w:tcW w:w="1134" w:type="dxa"/>
          </w:tcPr>
          <w:p>
            <w:pPr>
              <w:pStyle w:val="TableParagraph"/>
              <w:ind w:left="98" w:right="8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125</w:t>
            </w:r>
          </w:p>
        </w:tc>
        <w:tc>
          <w:tcPr>
            <w:tcW w:w="1021" w:type="dxa"/>
          </w:tcPr>
          <w:p>
            <w:pPr>
              <w:pStyle w:val="TableParagraph"/>
              <w:ind w:left="124" w:right="114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54,00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3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67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Cons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blaus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serigrafiats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Policia </w:t>
            </w:r>
            <w:r>
              <w:rPr>
                <w:spacing w:val="-2"/>
                <w:sz w:val="16"/>
              </w:rPr>
              <w:t>Municipal</w:t>
            </w:r>
          </w:p>
        </w:tc>
        <w:tc>
          <w:tcPr>
            <w:tcW w:w="1134" w:type="dxa"/>
          </w:tcPr>
          <w:p>
            <w:pPr>
              <w:pStyle w:val="TableParagraph"/>
              <w:ind w:left="98" w:right="8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125</w:t>
            </w:r>
          </w:p>
        </w:tc>
        <w:tc>
          <w:tcPr>
            <w:tcW w:w="1021" w:type="dxa"/>
          </w:tcPr>
          <w:p>
            <w:pPr>
              <w:pStyle w:val="TableParagraph"/>
              <w:ind w:left="124" w:right="114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33,00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3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51" w:hRule="atLeast"/>
        </w:trPr>
        <w:tc>
          <w:tcPr>
            <w:tcW w:w="2523" w:type="dxa"/>
          </w:tcPr>
          <w:p>
            <w:pPr>
              <w:pStyle w:val="TableParagraph"/>
              <w:spacing w:line="180" w:lineRule="atLeast"/>
              <w:ind w:left="108" w:right="207"/>
              <w:rPr>
                <w:sz w:val="16"/>
              </w:rPr>
            </w:pPr>
            <w:r>
              <w:rPr>
                <w:sz w:val="16"/>
              </w:rPr>
              <w:t>Udòmetre telescòpic de fàcil mesura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(0-999m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amb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precisió de +/-2%)</w:t>
            </w:r>
          </w:p>
        </w:tc>
        <w:tc>
          <w:tcPr>
            <w:tcW w:w="1134" w:type="dxa"/>
          </w:tcPr>
          <w:p>
            <w:pPr>
              <w:pStyle w:val="TableParagraph"/>
              <w:ind w:left="9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60</w:t>
            </w:r>
          </w:p>
        </w:tc>
        <w:tc>
          <w:tcPr>
            <w:tcW w:w="1021" w:type="dxa"/>
          </w:tcPr>
          <w:p>
            <w:pPr>
              <w:pStyle w:val="TableParagraph"/>
              <w:ind w:left="124" w:right="114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42,00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3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6"/>
        </w:rPr>
        <w:sectPr>
          <w:pgSz w:w="11910" w:h="16840"/>
          <w:pgMar w:header="650" w:footer="591" w:top="1340" w:bottom="780" w:left="1133" w:right="992"/>
        </w:sectPr>
      </w:pPr>
    </w:p>
    <w:p>
      <w:pPr>
        <w:pStyle w:val="BodyText"/>
        <w:spacing w:before="82"/>
        <w:rPr>
          <w:rFonts w:ascii="Arial"/>
          <w:b/>
        </w:rPr>
      </w:pPr>
    </w:p>
    <w:tbl>
      <w:tblPr>
        <w:tblW w:w="0" w:type="auto"/>
        <w:jc w:val="left"/>
        <w:tblInd w:w="5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46"/>
        <w:gridCol w:w="2711"/>
        <w:gridCol w:w="2956"/>
      </w:tblGrid>
      <w:tr>
        <w:trPr>
          <w:trHeight w:val="413" w:hRule="atLeast"/>
        </w:trPr>
        <w:tc>
          <w:tcPr>
            <w:tcW w:w="2946" w:type="dxa"/>
          </w:tcPr>
          <w:p>
            <w:pPr>
              <w:pStyle w:val="TableParagraph"/>
              <w:spacing w:line="200" w:lineRule="atLeast"/>
              <w:ind w:left="10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Pressupost</w:t>
            </w:r>
            <w:r>
              <w:rPr>
                <w:rFonts w:ascii="Arial" w:hAnsi="Arial"/>
                <w:b/>
                <w:spacing w:val="7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base</w:t>
            </w:r>
            <w:r>
              <w:rPr>
                <w:rFonts w:ascii="Arial" w:hAnsi="Arial"/>
                <w:b/>
                <w:spacing w:val="7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7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licitació, IVA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exclòs</w:t>
            </w:r>
          </w:p>
        </w:tc>
        <w:tc>
          <w:tcPr>
            <w:tcW w:w="2711" w:type="dxa"/>
          </w:tcPr>
          <w:p>
            <w:pPr>
              <w:pStyle w:val="TableParagraph"/>
              <w:ind w:left="1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IVA</w:t>
            </w:r>
            <w:r>
              <w:rPr>
                <w:rFonts w:ascii="Arial"/>
                <w:b/>
                <w:spacing w:val="-9"/>
                <w:sz w:val="18"/>
              </w:rPr>
              <w:t> </w:t>
            </w:r>
            <w:r>
              <w:rPr>
                <w:rFonts w:ascii="Arial"/>
                <w:b/>
                <w:spacing w:val="-5"/>
                <w:sz w:val="18"/>
              </w:rPr>
              <w:t>21%</w:t>
            </w:r>
          </w:p>
        </w:tc>
        <w:tc>
          <w:tcPr>
            <w:tcW w:w="2956" w:type="dxa"/>
          </w:tcPr>
          <w:p>
            <w:pPr>
              <w:pStyle w:val="TableParagraph"/>
              <w:spacing w:line="200" w:lineRule="atLeast"/>
              <w:ind w:left="1052" w:right="8" w:hanging="78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Pressupost</w:t>
            </w:r>
            <w:r>
              <w:rPr>
                <w:rFonts w:ascii="Arial" w:hAnsi="Arial"/>
                <w:b/>
                <w:spacing w:val="-11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base</w:t>
            </w:r>
            <w:r>
              <w:rPr>
                <w:rFonts w:ascii="Arial" w:hAnsi="Arial"/>
                <w:b/>
                <w:spacing w:val="-10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de</w:t>
            </w:r>
            <w:r>
              <w:rPr>
                <w:rFonts w:ascii="Arial" w:hAnsi="Arial"/>
                <w:b/>
                <w:spacing w:val="-11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licitació, </w:t>
            </w:r>
            <w:r>
              <w:rPr>
                <w:rFonts w:ascii="Arial" w:hAnsi="Arial"/>
                <w:b/>
                <w:sz w:val="18"/>
              </w:rPr>
              <w:t>IVA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inclòs</w:t>
            </w:r>
          </w:p>
        </w:tc>
      </w:tr>
      <w:tr>
        <w:trPr>
          <w:trHeight w:val="206" w:hRule="atLeast"/>
        </w:trPr>
        <w:tc>
          <w:tcPr>
            <w:tcW w:w="2946" w:type="dxa"/>
          </w:tcPr>
          <w:p>
            <w:pPr>
              <w:pStyle w:val="TableParagraph"/>
              <w:spacing w:line="187" w:lineRule="exact"/>
              <w:ind w:left="1536"/>
              <w:rPr>
                <w:sz w:val="18"/>
              </w:rPr>
            </w:pPr>
            <w:r>
              <w:rPr>
                <w:sz w:val="18"/>
              </w:rPr>
              <w:t>21.195,00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2711" w:type="dxa"/>
          </w:tcPr>
          <w:p>
            <w:pPr>
              <w:pStyle w:val="TableParagraph"/>
              <w:spacing w:line="187" w:lineRule="exact"/>
              <w:ind w:left="1402"/>
              <w:rPr>
                <w:sz w:val="18"/>
              </w:rPr>
            </w:pPr>
            <w:r>
              <w:rPr>
                <w:sz w:val="18"/>
              </w:rPr>
              <w:t>4.450,95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2956" w:type="dxa"/>
          </w:tcPr>
          <w:p>
            <w:pPr>
              <w:pStyle w:val="TableParagraph"/>
              <w:spacing w:line="187" w:lineRule="exact"/>
              <w:ind w:left="1546"/>
              <w:rPr>
                <w:sz w:val="18"/>
              </w:rPr>
            </w:pPr>
            <w:r>
              <w:rPr>
                <w:sz w:val="18"/>
              </w:rPr>
              <w:t>25.645,95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>
      <w:pPr>
        <w:pStyle w:val="BodyText"/>
        <w:spacing w:before="47"/>
        <w:rPr>
          <w:rFonts w:ascii="Arial"/>
          <w:b/>
          <w:sz w:val="16"/>
        </w:rPr>
      </w:pPr>
    </w:p>
    <w:p>
      <w:pPr>
        <w:spacing w:before="1"/>
        <w:ind w:left="568" w:right="0" w:firstLine="0"/>
        <w:jc w:val="left"/>
        <w:rPr>
          <w:sz w:val="16"/>
        </w:rPr>
      </w:pPr>
      <w:r>
        <w:rPr>
          <w:spacing w:val="-2"/>
          <w:sz w:val="16"/>
        </w:rPr>
        <w:t>A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complimentar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per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part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de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l’empresa,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només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les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cel·les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ombrejades:</w:t>
      </w:r>
    </w:p>
    <w:tbl>
      <w:tblPr>
        <w:tblW w:w="0" w:type="auto"/>
        <w:jc w:val="left"/>
        <w:tblInd w:w="5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19"/>
        <w:gridCol w:w="2835"/>
        <w:gridCol w:w="3118"/>
      </w:tblGrid>
      <w:tr>
        <w:trPr>
          <w:trHeight w:val="413" w:hRule="atLeast"/>
        </w:trPr>
        <w:tc>
          <w:tcPr>
            <w:tcW w:w="3119" w:type="dxa"/>
          </w:tcPr>
          <w:p>
            <w:pPr>
              <w:pStyle w:val="TableParagraph"/>
              <w:ind w:left="21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Import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TOTAL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del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lot,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sense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5"/>
                <w:sz w:val="18"/>
              </w:rPr>
              <w:t>IVA</w:t>
            </w:r>
          </w:p>
        </w:tc>
        <w:tc>
          <w:tcPr>
            <w:tcW w:w="2835" w:type="dxa"/>
          </w:tcPr>
          <w:p>
            <w:pPr>
              <w:pStyle w:val="TableParagraph"/>
              <w:spacing w:line="200" w:lineRule="atLeast"/>
              <w:ind w:left="204" w:right="178" w:hanging="5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Import</w:t>
            </w:r>
            <w:r>
              <w:rPr>
                <w:rFonts w:ascii="Arial" w:hAnsi="Arial"/>
                <w:b/>
                <w:spacing w:val="-1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TOTAL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1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l’IVA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</w:t>
            </w:r>
            <w:r>
              <w:rPr>
                <w:rFonts w:ascii="Arial" w:hAnsi="Arial"/>
                <w:b/>
                <w:spacing w:val="-1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 </w:t>
            </w:r>
            <w:r>
              <w:rPr>
                <w:rFonts w:ascii="Arial" w:hAnsi="Arial"/>
                <w:b/>
                <w:spacing w:val="-2"/>
                <w:sz w:val="18"/>
              </w:rPr>
              <w:t>partida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independent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IVA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pacing w:val="-5"/>
                <w:sz w:val="18"/>
              </w:rPr>
              <w:t>21%</w:t>
            </w:r>
          </w:p>
        </w:tc>
        <w:tc>
          <w:tcPr>
            <w:tcW w:w="3118" w:type="dxa"/>
          </w:tcPr>
          <w:p>
            <w:pPr>
              <w:pStyle w:val="TableParagraph"/>
              <w:spacing w:line="200" w:lineRule="atLeast"/>
              <w:ind w:left="1304" w:hanging="1035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Import</w:t>
            </w:r>
            <w:r>
              <w:rPr>
                <w:rFonts w:ascii="Arial" w:hAnsi="Arial"/>
                <w:b/>
                <w:spacing w:val="-9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TOTAL</w:t>
            </w:r>
            <w:r>
              <w:rPr>
                <w:rFonts w:ascii="Arial" w:hAnsi="Arial"/>
                <w:b/>
                <w:spacing w:val="-9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del</w:t>
            </w:r>
            <w:r>
              <w:rPr>
                <w:rFonts w:ascii="Arial" w:hAnsi="Arial"/>
                <w:b/>
                <w:spacing w:val="-10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lot</w:t>
            </w:r>
            <w:r>
              <w:rPr>
                <w:rFonts w:ascii="Arial" w:hAnsi="Arial"/>
                <w:b/>
                <w:spacing w:val="-9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ofert,</w:t>
            </w:r>
            <w:r>
              <w:rPr>
                <w:rFonts w:ascii="Arial" w:hAnsi="Arial"/>
                <w:b/>
                <w:spacing w:val="-10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IVA inclòs</w:t>
            </w:r>
          </w:p>
        </w:tc>
      </w:tr>
      <w:tr>
        <w:trPr>
          <w:trHeight w:val="206" w:hRule="atLeast"/>
        </w:trPr>
        <w:tc>
          <w:tcPr>
            <w:tcW w:w="3119" w:type="dxa"/>
            <w:shd w:val="clear" w:color="auto" w:fill="A6A6A6"/>
          </w:tcPr>
          <w:p>
            <w:pPr>
              <w:pStyle w:val="TableParagraph"/>
              <w:spacing w:line="187" w:lineRule="exact"/>
              <w:ind w:right="9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2835" w:type="dxa"/>
            <w:shd w:val="clear" w:color="auto" w:fill="A6A6A6"/>
          </w:tcPr>
          <w:p>
            <w:pPr>
              <w:pStyle w:val="TableParagraph"/>
              <w:spacing w:line="187" w:lineRule="exact"/>
              <w:ind w:right="9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3118" w:type="dxa"/>
            <w:shd w:val="clear" w:color="auto" w:fill="A6A6A6"/>
          </w:tcPr>
          <w:p>
            <w:pPr>
              <w:pStyle w:val="TableParagraph"/>
              <w:spacing w:line="187" w:lineRule="exact"/>
              <w:ind w:right="9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euros</w:t>
            </w:r>
          </w:p>
        </w:tc>
      </w:tr>
    </w:tbl>
    <w:p>
      <w:pPr>
        <w:pStyle w:val="BodyText"/>
        <w:rPr>
          <w:sz w:val="16"/>
        </w:rPr>
      </w:pPr>
    </w:p>
    <w:p>
      <w:pPr>
        <w:pStyle w:val="BodyText"/>
        <w:spacing w:before="93"/>
        <w:rPr>
          <w:sz w:val="16"/>
        </w:rPr>
      </w:pPr>
    </w:p>
    <w:p>
      <w:pPr>
        <w:spacing w:before="1"/>
        <w:ind w:left="568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  <w:u w:val="single"/>
        </w:rPr>
        <w:t>Lot</w:t>
      </w:r>
      <w:r>
        <w:rPr>
          <w:rFonts w:ascii="Arial" w:hAnsi="Arial"/>
          <w:b/>
          <w:spacing w:val="-5"/>
          <w:sz w:val="20"/>
          <w:u w:val="single"/>
        </w:rPr>
        <w:t> </w:t>
      </w:r>
      <w:r>
        <w:rPr>
          <w:rFonts w:ascii="Arial" w:hAnsi="Arial"/>
          <w:b/>
          <w:spacing w:val="-2"/>
          <w:sz w:val="20"/>
          <w:u w:val="single"/>
        </w:rPr>
        <w:t>3.</w:t>
      </w:r>
      <w:r>
        <w:rPr>
          <w:rFonts w:ascii="Arial" w:hAnsi="Arial"/>
          <w:b/>
          <w:spacing w:val="-5"/>
          <w:sz w:val="20"/>
          <w:u w:val="single"/>
        </w:rPr>
        <w:t> </w:t>
      </w:r>
      <w:r>
        <w:rPr>
          <w:rFonts w:ascii="Arial" w:hAnsi="Arial"/>
          <w:b/>
          <w:spacing w:val="-2"/>
          <w:sz w:val="20"/>
          <w:u w:val="single"/>
        </w:rPr>
        <w:t>Subministrament</w:t>
      </w:r>
      <w:r>
        <w:rPr>
          <w:rFonts w:ascii="Arial" w:hAnsi="Arial"/>
          <w:b/>
          <w:spacing w:val="-3"/>
          <w:sz w:val="20"/>
          <w:u w:val="single"/>
        </w:rPr>
        <w:t> </w:t>
      </w:r>
      <w:r>
        <w:rPr>
          <w:rFonts w:ascii="Arial" w:hAnsi="Arial"/>
          <w:b/>
          <w:spacing w:val="-2"/>
          <w:sz w:val="20"/>
          <w:u w:val="single"/>
        </w:rPr>
        <w:t>de</w:t>
      </w:r>
      <w:r>
        <w:rPr>
          <w:rFonts w:ascii="Arial" w:hAnsi="Arial"/>
          <w:b/>
          <w:spacing w:val="-5"/>
          <w:sz w:val="20"/>
          <w:u w:val="single"/>
        </w:rPr>
        <w:t> </w:t>
      </w:r>
      <w:r>
        <w:rPr>
          <w:rFonts w:ascii="Arial" w:hAnsi="Arial"/>
          <w:b/>
          <w:spacing w:val="-2"/>
          <w:sz w:val="20"/>
          <w:u w:val="single"/>
        </w:rPr>
        <w:t>material</w:t>
      </w:r>
      <w:r>
        <w:rPr>
          <w:rFonts w:ascii="Arial" w:hAnsi="Arial"/>
          <w:b/>
          <w:spacing w:val="-5"/>
          <w:sz w:val="20"/>
          <w:u w:val="single"/>
        </w:rPr>
        <w:t> </w:t>
      </w:r>
      <w:r>
        <w:rPr>
          <w:rFonts w:ascii="Arial" w:hAnsi="Arial"/>
          <w:b/>
          <w:spacing w:val="-2"/>
          <w:sz w:val="20"/>
          <w:u w:val="single"/>
        </w:rPr>
        <w:t>de</w:t>
      </w:r>
      <w:r>
        <w:rPr>
          <w:rFonts w:ascii="Arial" w:hAnsi="Arial"/>
          <w:b/>
          <w:spacing w:val="-4"/>
          <w:sz w:val="20"/>
          <w:u w:val="single"/>
        </w:rPr>
        <w:t> </w:t>
      </w:r>
      <w:r>
        <w:rPr>
          <w:rFonts w:ascii="Arial" w:hAnsi="Arial"/>
          <w:b/>
          <w:spacing w:val="-2"/>
          <w:sz w:val="20"/>
          <w:u w:val="single"/>
        </w:rPr>
        <w:t>custòdia:</w:t>
      </w:r>
    </w:p>
    <w:p>
      <w:pPr>
        <w:spacing w:before="230"/>
        <w:ind w:left="568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Criteri</w:t>
      </w:r>
      <w:r>
        <w:rPr>
          <w:rFonts w:ascii="Arial" w:hAnsi="Arial"/>
          <w:b/>
          <w:spacing w:val="-7"/>
          <w:sz w:val="20"/>
        </w:rPr>
        <w:t> </w:t>
      </w:r>
      <w:r>
        <w:rPr>
          <w:rFonts w:ascii="Arial" w:hAnsi="Arial"/>
          <w:b/>
          <w:spacing w:val="-2"/>
          <w:sz w:val="20"/>
        </w:rPr>
        <w:t>d’adjudicació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pacing w:val="-2"/>
          <w:sz w:val="20"/>
        </w:rPr>
        <w:t>únic:</w:t>
      </w:r>
      <w:r>
        <w:rPr>
          <w:rFonts w:ascii="Arial" w:hAnsi="Arial"/>
          <w:b/>
          <w:spacing w:val="-6"/>
          <w:sz w:val="20"/>
        </w:rPr>
        <w:t> </w:t>
      </w:r>
      <w:r>
        <w:rPr>
          <w:rFonts w:ascii="Arial" w:hAnsi="Arial"/>
          <w:b/>
          <w:spacing w:val="-2"/>
          <w:sz w:val="20"/>
        </w:rPr>
        <w:t>Millora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pacing w:val="-2"/>
          <w:sz w:val="20"/>
        </w:rPr>
        <w:t>econòmica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pacing w:val="-2"/>
          <w:sz w:val="20"/>
        </w:rPr>
        <w:t>en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pacing w:val="-2"/>
          <w:sz w:val="20"/>
        </w:rPr>
        <w:t>el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pacing w:val="-2"/>
          <w:sz w:val="20"/>
        </w:rPr>
        <w:t>preu.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pacing w:val="-2"/>
          <w:sz w:val="20"/>
        </w:rPr>
        <w:t>(Puntuació</w:t>
      </w:r>
      <w:r>
        <w:rPr>
          <w:rFonts w:ascii="Arial" w:hAnsi="Arial"/>
          <w:b/>
          <w:spacing w:val="-6"/>
          <w:sz w:val="20"/>
        </w:rPr>
        <w:t> </w:t>
      </w:r>
      <w:r>
        <w:rPr>
          <w:rFonts w:ascii="Arial" w:hAnsi="Arial"/>
          <w:b/>
          <w:spacing w:val="-2"/>
          <w:sz w:val="20"/>
        </w:rPr>
        <w:t>màxima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pacing w:val="-2"/>
          <w:sz w:val="20"/>
        </w:rPr>
        <w:t>100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pacing w:val="-2"/>
          <w:sz w:val="20"/>
        </w:rPr>
        <w:t>punts)</w:t>
      </w:r>
    </w:p>
    <w:p>
      <w:pPr>
        <w:pStyle w:val="BodyText"/>
        <w:spacing w:before="11"/>
        <w:rPr>
          <w:rFonts w:ascii="Arial"/>
          <w:b/>
          <w:sz w:val="19"/>
        </w:rPr>
      </w:pPr>
    </w:p>
    <w:tbl>
      <w:tblPr>
        <w:tblW w:w="0" w:type="auto"/>
        <w:jc w:val="left"/>
        <w:tblInd w:w="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94"/>
        <w:gridCol w:w="851"/>
        <w:gridCol w:w="1134"/>
        <w:gridCol w:w="992"/>
        <w:gridCol w:w="1134"/>
        <w:gridCol w:w="851"/>
        <w:gridCol w:w="992"/>
        <w:gridCol w:w="992"/>
      </w:tblGrid>
      <w:tr>
        <w:trPr>
          <w:trHeight w:val="1020" w:hRule="atLeast"/>
        </w:trPr>
        <w:tc>
          <w:tcPr>
            <w:tcW w:w="2694" w:type="dxa"/>
          </w:tcPr>
          <w:p>
            <w:pPr>
              <w:pStyle w:val="TableParagraph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spacing w:before="50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10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Descripció</w:t>
            </w:r>
            <w:r>
              <w:rPr>
                <w:rFonts w:ascii="Arial" w:hAnsi="Arial"/>
                <w:b/>
                <w:spacing w:val="-5"/>
                <w:sz w:val="16"/>
              </w:rPr>
              <w:t> </w:t>
            </w:r>
            <w:r>
              <w:rPr>
                <w:rFonts w:ascii="Arial" w:hAnsi="Arial"/>
                <w:b/>
                <w:spacing w:val="-2"/>
                <w:sz w:val="16"/>
              </w:rPr>
              <w:t>material/article</w:t>
            </w:r>
          </w:p>
        </w:tc>
        <w:tc>
          <w:tcPr>
            <w:tcW w:w="851" w:type="dxa"/>
          </w:tcPr>
          <w:p>
            <w:pPr>
              <w:pStyle w:val="TableParagraph"/>
              <w:spacing w:before="142"/>
              <w:ind w:left="123" w:right="110" w:hanging="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Unitats estimad </w:t>
            </w:r>
            <w:r>
              <w:rPr>
                <w:rFonts w:ascii="Arial"/>
                <w:b/>
                <w:spacing w:val="-6"/>
                <w:sz w:val="16"/>
              </w:rPr>
              <w:t>es</w:t>
            </w:r>
            <w:r>
              <w:rPr>
                <w:rFonts w:ascii="Arial"/>
                <w:b/>
                <w:spacing w:val="-2"/>
                <w:sz w:val="16"/>
              </w:rPr>
              <w:t> Totals</w:t>
            </w:r>
          </w:p>
        </w:tc>
        <w:tc>
          <w:tcPr>
            <w:tcW w:w="1134" w:type="dxa"/>
          </w:tcPr>
          <w:p>
            <w:pPr>
              <w:pStyle w:val="TableParagraph"/>
              <w:spacing w:before="142"/>
              <w:ind w:left="98" w:right="8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Preu</w:t>
            </w:r>
            <w:r>
              <w:rPr>
                <w:rFonts w:ascii="Arial" w:hAnsi="Arial"/>
                <w:b/>
                <w:spacing w:val="-1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unitari màxim de </w:t>
            </w:r>
            <w:r>
              <w:rPr>
                <w:rFonts w:ascii="Arial" w:hAnsi="Arial"/>
                <w:b/>
                <w:spacing w:val="-2"/>
                <w:sz w:val="16"/>
              </w:rPr>
              <w:t>licitació </w:t>
            </w:r>
            <w:r>
              <w:rPr>
                <w:rFonts w:ascii="Arial" w:hAnsi="Arial"/>
                <w:b/>
                <w:sz w:val="16"/>
              </w:rPr>
              <w:t>sense IVA</w:t>
            </w:r>
          </w:p>
        </w:tc>
        <w:tc>
          <w:tcPr>
            <w:tcW w:w="992" w:type="dxa"/>
          </w:tcPr>
          <w:p>
            <w:pPr>
              <w:pStyle w:val="TableParagraph"/>
              <w:spacing w:before="142"/>
              <w:ind w:left="113" w:right="10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Preu </w:t>
            </w:r>
            <w:r>
              <w:rPr>
                <w:rFonts w:ascii="Arial"/>
                <w:b/>
                <w:spacing w:val="-2"/>
                <w:sz w:val="16"/>
              </w:rPr>
              <w:t>unitari ofert </w:t>
            </w:r>
            <w:r>
              <w:rPr>
                <w:rFonts w:ascii="Arial"/>
                <w:b/>
                <w:sz w:val="16"/>
              </w:rPr>
              <w:t>sense</w:t>
            </w:r>
            <w:r>
              <w:rPr>
                <w:rFonts w:ascii="Arial"/>
                <w:b/>
                <w:spacing w:val="-12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IVA</w:t>
            </w:r>
          </w:p>
        </w:tc>
        <w:tc>
          <w:tcPr>
            <w:tcW w:w="1134" w:type="dxa"/>
          </w:tcPr>
          <w:p>
            <w:pPr>
              <w:pStyle w:val="TableParagraph"/>
              <w:spacing w:before="50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98" w:right="8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Preu</w:t>
            </w:r>
            <w:r>
              <w:rPr>
                <w:rFonts w:ascii="Arial"/>
                <w:b/>
                <w:spacing w:val="-12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unitari </w:t>
            </w:r>
            <w:r>
              <w:rPr>
                <w:rFonts w:ascii="Arial"/>
                <w:b/>
                <w:spacing w:val="-2"/>
                <w:sz w:val="16"/>
              </w:rPr>
              <w:t>ofert</w:t>
            </w:r>
          </w:p>
          <w:p>
            <w:pPr>
              <w:pStyle w:val="TableParagraph"/>
              <w:ind w:left="98" w:right="89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IVA</w:t>
            </w:r>
            <w:r>
              <w:rPr>
                <w:rFonts w:ascii="Arial" w:hAnsi="Arial"/>
                <w:b/>
                <w:spacing w:val="-2"/>
                <w:sz w:val="16"/>
              </w:rPr>
              <w:t> inclòs</w:t>
            </w:r>
          </w:p>
        </w:tc>
        <w:tc>
          <w:tcPr>
            <w:tcW w:w="851" w:type="dxa"/>
          </w:tcPr>
          <w:p>
            <w:pPr>
              <w:pStyle w:val="TableParagraph"/>
              <w:spacing w:before="142"/>
              <w:ind w:left="125" w:right="11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Import total sense </w:t>
            </w:r>
            <w:r>
              <w:rPr>
                <w:rFonts w:ascii="Arial"/>
                <w:b/>
                <w:spacing w:val="-4"/>
                <w:sz w:val="16"/>
              </w:rPr>
              <w:t>IVA</w:t>
            </w:r>
          </w:p>
        </w:tc>
        <w:tc>
          <w:tcPr>
            <w:tcW w:w="992" w:type="dxa"/>
          </w:tcPr>
          <w:p>
            <w:pPr>
              <w:pStyle w:val="TableParagraph"/>
              <w:spacing w:before="184"/>
              <w:ind w:left="131" w:right="119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Import</w:t>
            </w:r>
            <w:r>
              <w:rPr>
                <w:rFonts w:ascii="Arial" w:hAnsi="Arial"/>
                <w:b/>
                <w:spacing w:val="-1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 </w:t>
            </w:r>
            <w:r>
              <w:rPr>
                <w:rFonts w:ascii="Arial" w:hAnsi="Arial"/>
                <w:b/>
                <w:spacing w:val="-2"/>
                <w:sz w:val="16"/>
              </w:rPr>
              <w:t>l’IVA</w:t>
            </w:r>
          </w:p>
          <w:p>
            <w:pPr>
              <w:pStyle w:val="TableParagraph"/>
              <w:tabs>
                <w:tab w:pos="315" w:val="left" w:leader="none"/>
              </w:tabs>
              <w:ind w:lef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  <w:u w:val="single"/>
              </w:rPr>
              <w:tab/>
            </w:r>
            <w:r>
              <w:rPr>
                <w:rFonts w:ascii="Arial"/>
                <w:b/>
                <w:spacing w:val="-10"/>
                <w:sz w:val="16"/>
              </w:rPr>
              <w:t>%</w:t>
            </w:r>
          </w:p>
        </w:tc>
        <w:tc>
          <w:tcPr>
            <w:tcW w:w="992" w:type="dxa"/>
          </w:tcPr>
          <w:p>
            <w:pPr>
              <w:pStyle w:val="TableParagraph"/>
              <w:spacing w:before="184"/>
              <w:ind w:left="140" w:right="128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Import total </w:t>
            </w:r>
            <w:r>
              <w:rPr>
                <w:rFonts w:ascii="Arial" w:hAnsi="Arial"/>
                <w:b/>
                <w:sz w:val="16"/>
              </w:rPr>
              <w:t>ofert,</w:t>
            </w:r>
            <w:r>
              <w:rPr>
                <w:rFonts w:ascii="Arial" w:hAnsi="Arial"/>
                <w:b/>
                <w:spacing w:val="-1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IVA </w:t>
            </w:r>
            <w:r>
              <w:rPr>
                <w:rFonts w:ascii="Arial" w:hAnsi="Arial"/>
                <w:b/>
                <w:spacing w:val="-2"/>
                <w:sz w:val="16"/>
              </w:rPr>
              <w:t>inclòs</w:t>
            </w:r>
          </w:p>
        </w:tc>
      </w:tr>
      <w:tr>
        <w:trPr>
          <w:trHeight w:val="367" w:hRule="atLeast"/>
        </w:trPr>
        <w:tc>
          <w:tcPr>
            <w:tcW w:w="2694" w:type="dxa"/>
          </w:tcPr>
          <w:p>
            <w:pPr>
              <w:pStyle w:val="TableParagraph"/>
              <w:spacing w:line="180" w:lineRule="atLeast"/>
              <w:ind w:left="108" w:right="86"/>
              <w:rPr>
                <w:sz w:val="16"/>
              </w:rPr>
            </w:pPr>
            <w:r>
              <w:rPr>
                <w:sz w:val="16"/>
              </w:rPr>
              <w:t>Bosses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custòdia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11x15,5 (paquet de 100 un)</w:t>
            </w:r>
          </w:p>
        </w:tc>
        <w:tc>
          <w:tcPr>
            <w:tcW w:w="851" w:type="dxa"/>
          </w:tcPr>
          <w:p>
            <w:pPr>
              <w:pStyle w:val="TableParagraph"/>
              <w:ind w:left="125" w:right="1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1134" w:type="dxa"/>
          </w:tcPr>
          <w:p>
            <w:pPr>
              <w:pStyle w:val="TableParagraph"/>
              <w:ind w:left="98" w:right="88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26,40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67" w:hRule="atLeast"/>
        </w:trPr>
        <w:tc>
          <w:tcPr>
            <w:tcW w:w="2694" w:type="dxa"/>
          </w:tcPr>
          <w:p>
            <w:pPr>
              <w:pStyle w:val="TableParagraph"/>
              <w:spacing w:line="180" w:lineRule="atLeast"/>
              <w:ind w:left="108" w:right="86"/>
              <w:rPr>
                <w:sz w:val="16"/>
              </w:rPr>
            </w:pPr>
            <w:r>
              <w:rPr>
                <w:sz w:val="16"/>
              </w:rPr>
              <w:t>Bosses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custòdia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20x26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(paquet de 100 un)</w:t>
            </w:r>
          </w:p>
        </w:tc>
        <w:tc>
          <w:tcPr>
            <w:tcW w:w="851" w:type="dxa"/>
          </w:tcPr>
          <w:p>
            <w:pPr>
              <w:pStyle w:val="TableParagraph"/>
              <w:ind w:left="9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1134" w:type="dxa"/>
          </w:tcPr>
          <w:p>
            <w:pPr>
              <w:pStyle w:val="TableParagraph"/>
              <w:ind w:left="98" w:right="88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30,40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67" w:hRule="atLeast"/>
        </w:trPr>
        <w:tc>
          <w:tcPr>
            <w:tcW w:w="2694" w:type="dxa"/>
          </w:tcPr>
          <w:p>
            <w:pPr>
              <w:pStyle w:val="TableParagraph"/>
              <w:spacing w:line="180" w:lineRule="atLeast"/>
              <w:ind w:left="108" w:right="86"/>
              <w:rPr>
                <w:sz w:val="16"/>
              </w:rPr>
            </w:pPr>
            <w:r>
              <w:rPr>
                <w:sz w:val="16"/>
              </w:rPr>
              <w:t>Bosses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custòdia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29x39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(paquet de 100 un)</w:t>
            </w:r>
          </w:p>
        </w:tc>
        <w:tc>
          <w:tcPr>
            <w:tcW w:w="851" w:type="dxa"/>
          </w:tcPr>
          <w:p>
            <w:pPr>
              <w:pStyle w:val="TableParagraph"/>
              <w:ind w:left="9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1134" w:type="dxa"/>
          </w:tcPr>
          <w:p>
            <w:pPr>
              <w:pStyle w:val="TableParagraph"/>
              <w:ind w:left="98" w:right="88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65,60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67" w:hRule="atLeast"/>
        </w:trPr>
        <w:tc>
          <w:tcPr>
            <w:tcW w:w="2694" w:type="dxa"/>
          </w:tcPr>
          <w:p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Brida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seguretat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amb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espai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per escriptura (un)</w:t>
            </w:r>
          </w:p>
        </w:tc>
        <w:tc>
          <w:tcPr>
            <w:tcW w:w="851" w:type="dxa"/>
          </w:tcPr>
          <w:p>
            <w:pPr>
              <w:pStyle w:val="TableParagraph"/>
              <w:ind w:left="125" w:right="11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2.500</w:t>
            </w:r>
          </w:p>
        </w:tc>
        <w:tc>
          <w:tcPr>
            <w:tcW w:w="1134" w:type="dxa"/>
          </w:tcPr>
          <w:p>
            <w:pPr>
              <w:pStyle w:val="TableParagraph"/>
              <w:ind w:left="98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0,80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00" w:hRule="atLeast"/>
        </w:trPr>
        <w:tc>
          <w:tcPr>
            <w:tcW w:w="2694" w:type="dxa"/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Sacs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30x50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(un)</w:t>
            </w:r>
          </w:p>
        </w:tc>
        <w:tc>
          <w:tcPr>
            <w:tcW w:w="851" w:type="dxa"/>
          </w:tcPr>
          <w:p>
            <w:pPr>
              <w:pStyle w:val="TableParagraph"/>
              <w:ind w:left="125" w:right="11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2.500</w:t>
            </w:r>
          </w:p>
        </w:tc>
        <w:tc>
          <w:tcPr>
            <w:tcW w:w="1134" w:type="dxa"/>
          </w:tcPr>
          <w:p>
            <w:pPr>
              <w:pStyle w:val="TableParagraph"/>
              <w:ind w:left="98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0,80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00" w:hRule="atLeast"/>
        </w:trPr>
        <w:tc>
          <w:tcPr>
            <w:tcW w:w="2694" w:type="dxa"/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Sacs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65x80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(un)</w:t>
            </w:r>
          </w:p>
        </w:tc>
        <w:tc>
          <w:tcPr>
            <w:tcW w:w="851" w:type="dxa"/>
          </w:tcPr>
          <w:p>
            <w:pPr>
              <w:pStyle w:val="TableParagraph"/>
              <w:ind w:left="125" w:right="11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2.500</w:t>
            </w:r>
          </w:p>
        </w:tc>
        <w:tc>
          <w:tcPr>
            <w:tcW w:w="1134" w:type="dxa"/>
          </w:tcPr>
          <w:p>
            <w:pPr>
              <w:pStyle w:val="TableParagraph"/>
              <w:ind w:left="98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0,80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spacing w:before="3" w:after="1"/>
        <w:rPr>
          <w:rFonts w:ascii="Arial"/>
          <w:b/>
        </w:rPr>
      </w:pPr>
    </w:p>
    <w:tbl>
      <w:tblPr>
        <w:tblW w:w="0" w:type="auto"/>
        <w:jc w:val="left"/>
        <w:tblInd w:w="5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79"/>
        <w:gridCol w:w="2692"/>
        <w:gridCol w:w="2942"/>
      </w:tblGrid>
      <w:tr>
        <w:trPr>
          <w:trHeight w:val="413" w:hRule="atLeast"/>
        </w:trPr>
        <w:tc>
          <w:tcPr>
            <w:tcW w:w="2979" w:type="dxa"/>
          </w:tcPr>
          <w:p>
            <w:pPr>
              <w:pStyle w:val="TableParagraph"/>
              <w:spacing w:line="200" w:lineRule="atLeast"/>
              <w:ind w:left="10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Pressupost</w:t>
            </w:r>
            <w:r>
              <w:rPr>
                <w:rFonts w:ascii="Arial" w:hAnsi="Arial"/>
                <w:b/>
                <w:spacing w:val="-9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base</w:t>
            </w:r>
            <w:r>
              <w:rPr>
                <w:rFonts w:ascii="Arial" w:hAnsi="Arial"/>
                <w:b/>
                <w:spacing w:val="-10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de</w:t>
            </w:r>
            <w:r>
              <w:rPr>
                <w:rFonts w:ascii="Arial" w:hAnsi="Arial"/>
                <w:b/>
                <w:spacing w:val="-10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licitació,</w:t>
            </w:r>
            <w:r>
              <w:rPr>
                <w:rFonts w:ascii="Arial" w:hAnsi="Arial"/>
                <w:b/>
                <w:spacing w:val="-10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IVA exclòs</w:t>
            </w:r>
          </w:p>
        </w:tc>
        <w:tc>
          <w:tcPr>
            <w:tcW w:w="2692" w:type="dxa"/>
          </w:tcPr>
          <w:p>
            <w:pPr>
              <w:pStyle w:val="TableParagraph"/>
              <w:ind w:left="1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IVA</w:t>
            </w:r>
            <w:r>
              <w:rPr>
                <w:rFonts w:ascii="Arial"/>
                <w:b/>
                <w:spacing w:val="-9"/>
                <w:sz w:val="18"/>
              </w:rPr>
              <w:t> </w:t>
            </w:r>
            <w:r>
              <w:rPr>
                <w:rFonts w:ascii="Arial"/>
                <w:b/>
                <w:spacing w:val="-5"/>
                <w:sz w:val="18"/>
              </w:rPr>
              <w:t>21%</w:t>
            </w:r>
          </w:p>
        </w:tc>
        <w:tc>
          <w:tcPr>
            <w:tcW w:w="2942" w:type="dxa"/>
          </w:tcPr>
          <w:p>
            <w:pPr>
              <w:pStyle w:val="TableParagraph"/>
              <w:spacing w:line="200" w:lineRule="atLeast"/>
              <w:ind w:left="1045" w:right="1" w:hanging="78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Pressupost</w:t>
            </w:r>
            <w:r>
              <w:rPr>
                <w:rFonts w:ascii="Arial" w:hAnsi="Arial"/>
                <w:b/>
                <w:spacing w:val="-11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base</w:t>
            </w:r>
            <w:r>
              <w:rPr>
                <w:rFonts w:ascii="Arial" w:hAnsi="Arial"/>
                <w:b/>
                <w:spacing w:val="-10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de</w:t>
            </w:r>
            <w:r>
              <w:rPr>
                <w:rFonts w:ascii="Arial" w:hAnsi="Arial"/>
                <w:b/>
                <w:spacing w:val="-11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licitació, </w:t>
            </w:r>
            <w:r>
              <w:rPr>
                <w:rFonts w:ascii="Arial" w:hAnsi="Arial"/>
                <w:b/>
                <w:sz w:val="18"/>
              </w:rPr>
              <w:t>IVA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inclòs</w:t>
            </w:r>
          </w:p>
        </w:tc>
      </w:tr>
      <w:tr>
        <w:trPr>
          <w:trHeight w:val="206" w:hRule="atLeast"/>
        </w:trPr>
        <w:tc>
          <w:tcPr>
            <w:tcW w:w="2979" w:type="dxa"/>
          </w:tcPr>
          <w:p>
            <w:pPr>
              <w:pStyle w:val="TableParagraph"/>
              <w:spacing w:line="187" w:lineRule="exact"/>
              <w:ind w:left="1670"/>
              <w:rPr>
                <w:sz w:val="18"/>
              </w:rPr>
            </w:pPr>
            <w:r>
              <w:rPr>
                <w:sz w:val="18"/>
              </w:rPr>
              <w:t>9.600,00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2692" w:type="dxa"/>
          </w:tcPr>
          <w:p>
            <w:pPr>
              <w:pStyle w:val="TableParagraph"/>
              <w:spacing w:line="187" w:lineRule="exact"/>
              <w:ind w:left="1383"/>
              <w:rPr>
                <w:sz w:val="18"/>
              </w:rPr>
            </w:pPr>
            <w:r>
              <w:rPr>
                <w:sz w:val="18"/>
              </w:rPr>
              <w:t>2.016,00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2942" w:type="dxa"/>
          </w:tcPr>
          <w:p>
            <w:pPr>
              <w:pStyle w:val="TableParagraph"/>
              <w:spacing w:line="187" w:lineRule="exact"/>
              <w:ind w:left="1532"/>
              <w:rPr>
                <w:sz w:val="18"/>
              </w:rPr>
            </w:pPr>
            <w:r>
              <w:rPr>
                <w:sz w:val="18"/>
              </w:rPr>
              <w:t>11.616,00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>
      <w:pPr>
        <w:pStyle w:val="BodyText"/>
        <w:spacing w:before="1"/>
        <w:rPr>
          <w:rFonts w:ascii="Arial"/>
          <w:b/>
        </w:rPr>
      </w:pPr>
    </w:p>
    <w:p>
      <w:pPr>
        <w:spacing w:before="1"/>
        <w:ind w:left="568" w:right="0" w:firstLine="0"/>
        <w:jc w:val="left"/>
        <w:rPr>
          <w:sz w:val="16"/>
        </w:rPr>
      </w:pPr>
      <w:r>
        <w:rPr>
          <w:spacing w:val="-2"/>
          <w:sz w:val="16"/>
        </w:rPr>
        <w:t>A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complimentar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per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part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de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l’empresa,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només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les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cel·les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ombrejades:</w:t>
      </w:r>
    </w:p>
    <w:tbl>
      <w:tblPr>
        <w:tblW w:w="0" w:type="auto"/>
        <w:jc w:val="left"/>
        <w:tblInd w:w="5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19"/>
        <w:gridCol w:w="2835"/>
        <w:gridCol w:w="3118"/>
      </w:tblGrid>
      <w:tr>
        <w:trPr>
          <w:trHeight w:val="413" w:hRule="atLeast"/>
        </w:trPr>
        <w:tc>
          <w:tcPr>
            <w:tcW w:w="3119" w:type="dxa"/>
          </w:tcPr>
          <w:p>
            <w:pPr>
              <w:pStyle w:val="TableParagraph"/>
              <w:ind w:left="21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Import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TOTAL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del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lot,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sense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5"/>
                <w:sz w:val="18"/>
              </w:rPr>
              <w:t>IVA</w:t>
            </w:r>
          </w:p>
        </w:tc>
        <w:tc>
          <w:tcPr>
            <w:tcW w:w="2835" w:type="dxa"/>
          </w:tcPr>
          <w:p>
            <w:pPr>
              <w:pStyle w:val="TableParagraph"/>
              <w:spacing w:line="200" w:lineRule="atLeast"/>
              <w:ind w:left="204" w:right="178" w:hanging="5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Import</w:t>
            </w:r>
            <w:r>
              <w:rPr>
                <w:rFonts w:ascii="Arial" w:hAnsi="Arial"/>
                <w:b/>
                <w:spacing w:val="-1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TOTAL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1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l’IVA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</w:t>
            </w:r>
            <w:r>
              <w:rPr>
                <w:rFonts w:ascii="Arial" w:hAnsi="Arial"/>
                <w:b/>
                <w:spacing w:val="-1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 </w:t>
            </w:r>
            <w:r>
              <w:rPr>
                <w:rFonts w:ascii="Arial" w:hAnsi="Arial"/>
                <w:b/>
                <w:spacing w:val="-2"/>
                <w:sz w:val="18"/>
              </w:rPr>
              <w:t>partida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independent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IVA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pacing w:val="-5"/>
                <w:sz w:val="18"/>
              </w:rPr>
              <w:t>21%</w:t>
            </w:r>
          </w:p>
        </w:tc>
        <w:tc>
          <w:tcPr>
            <w:tcW w:w="3118" w:type="dxa"/>
          </w:tcPr>
          <w:p>
            <w:pPr>
              <w:pStyle w:val="TableParagraph"/>
              <w:spacing w:line="200" w:lineRule="atLeast"/>
              <w:ind w:left="1304" w:hanging="1035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Import</w:t>
            </w:r>
            <w:r>
              <w:rPr>
                <w:rFonts w:ascii="Arial" w:hAnsi="Arial"/>
                <w:b/>
                <w:spacing w:val="-9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TOTAL</w:t>
            </w:r>
            <w:r>
              <w:rPr>
                <w:rFonts w:ascii="Arial" w:hAnsi="Arial"/>
                <w:b/>
                <w:spacing w:val="-9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del</w:t>
            </w:r>
            <w:r>
              <w:rPr>
                <w:rFonts w:ascii="Arial" w:hAnsi="Arial"/>
                <w:b/>
                <w:spacing w:val="-10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lot</w:t>
            </w:r>
            <w:r>
              <w:rPr>
                <w:rFonts w:ascii="Arial" w:hAnsi="Arial"/>
                <w:b/>
                <w:spacing w:val="-9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ofert,</w:t>
            </w:r>
            <w:r>
              <w:rPr>
                <w:rFonts w:ascii="Arial" w:hAnsi="Arial"/>
                <w:b/>
                <w:spacing w:val="-10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IVA inclòs</w:t>
            </w:r>
          </w:p>
        </w:tc>
      </w:tr>
      <w:tr>
        <w:trPr>
          <w:trHeight w:val="206" w:hRule="atLeast"/>
        </w:trPr>
        <w:tc>
          <w:tcPr>
            <w:tcW w:w="3119" w:type="dxa"/>
            <w:shd w:val="clear" w:color="auto" w:fill="A6A6A6"/>
          </w:tcPr>
          <w:p>
            <w:pPr>
              <w:pStyle w:val="TableParagraph"/>
              <w:spacing w:line="187" w:lineRule="exact"/>
              <w:ind w:right="9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2835" w:type="dxa"/>
            <w:shd w:val="clear" w:color="auto" w:fill="A6A6A6"/>
          </w:tcPr>
          <w:p>
            <w:pPr>
              <w:pStyle w:val="TableParagraph"/>
              <w:spacing w:line="187" w:lineRule="exact"/>
              <w:ind w:right="9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3118" w:type="dxa"/>
            <w:shd w:val="clear" w:color="auto" w:fill="A6A6A6"/>
          </w:tcPr>
          <w:p>
            <w:pPr>
              <w:pStyle w:val="TableParagraph"/>
              <w:spacing w:line="187" w:lineRule="exact"/>
              <w:ind w:right="9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euros</w:t>
            </w:r>
          </w:p>
        </w:tc>
      </w:tr>
    </w:tbl>
    <w:p>
      <w:pPr>
        <w:pStyle w:val="BodyText"/>
        <w:rPr>
          <w:sz w:val="16"/>
        </w:rPr>
      </w:pPr>
    </w:p>
    <w:p>
      <w:pPr>
        <w:pStyle w:val="BodyText"/>
        <w:spacing w:before="93"/>
        <w:rPr>
          <w:sz w:val="16"/>
        </w:rPr>
      </w:pPr>
    </w:p>
    <w:p>
      <w:pPr>
        <w:pStyle w:val="BodyText"/>
        <w:spacing w:before="1"/>
        <w:ind w:left="1986"/>
      </w:pPr>
      <w:r>
        <w:rPr/>
        <w:t>,</w:t>
      </w:r>
      <w:r>
        <w:rPr>
          <w:spacing w:val="38"/>
        </w:rPr>
        <w:t> </w:t>
      </w:r>
      <w:r>
        <w:rPr/>
        <w:t>a</w:t>
      </w:r>
      <w:r>
        <w:rPr>
          <w:spacing w:val="-9"/>
        </w:rPr>
        <w:t> </w:t>
      </w:r>
      <w:r>
        <w:rPr/>
        <w:t>data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signatura</w:t>
      </w:r>
      <w:r>
        <w:rPr>
          <w:spacing w:val="-10"/>
        </w:rPr>
        <w:t> </w:t>
      </w:r>
      <w:r>
        <w:rPr>
          <w:spacing w:val="-2"/>
        </w:rPr>
        <w:t>electrònica</w:t>
      </w:r>
    </w:p>
    <w:p>
      <w:pPr>
        <w:pStyle w:val="BodyText"/>
        <w:spacing w:before="230"/>
        <w:ind w:left="568"/>
      </w:pPr>
      <w:r>
        <w:rPr>
          <w:spacing w:val="-2"/>
        </w:rPr>
        <w:t>Signat,</w:t>
      </w:r>
    </w:p>
    <w:sectPr>
      <w:pgSz w:w="11910" w:h="16840"/>
      <w:pgMar w:header="650" w:footer="591" w:top="1340" w:bottom="780" w:left="1133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234624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7081856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235136">
              <wp:simplePos x="0" y="0"/>
              <wp:positionH relativeFrom="page">
                <wp:posOffset>6188468</wp:posOffset>
              </wp:positionH>
              <wp:positionV relativeFrom="page">
                <wp:posOffset>10337327</wp:posOffset>
              </wp:positionV>
              <wp:extent cx="305435" cy="13906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054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6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  <w:sz w:val="16"/>
                            </w:rPr>
                            <w:t>44</w: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>/49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7.280975pt;margin-top:813.96283pt;width:24.05pt;height:10.95pt;mso-position-horizontal-relative:page;mso-position-vertical-relative:page;z-index:-17081344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6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fldChar w:fldCharType="begin"/>
                    </w:r>
                    <w:r>
                      <w:rPr>
                        <w:spacing w:val="-2"/>
                        <w:sz w:val="16"/>
                      </w:rPr>
                      <w:instrText> PAGE </w:instrText>
                    </w:r>
                    <w:r>
                      <w:rPr>
                        <w:spacing w:val="-2"/>
                        <w:sz w:val="16"/>
                      </w:rPr>
                      <w:fldChar w:fldCharType="separate"/>
                    </w:r>
                    <w:r>
                      <w:rPr>
                        <w:spacing w:val="-2"/>
                        <w:sz w:val="16"/>
                      </w:rPr>
                      <w:t>44</w:t>
                    </w:r>
                    <w:r>
                      <w:rPr>
                        <w:spacing w:val="-2"/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>/49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6234112">
          <wp:simplePos x="0" y="0"/>
          <wp:positionH relativeFrom="page">
            <wp:posOffset>1080135</wp:posOffset>
          </wp:positionH>
          <wp:positionV relativeFrom="page">
            <wp:posOffset>412737</wp:posOffset>
          </wp:positionV>
          <wp:extent cx="911170" cy="323849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11170" cy="3238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ind w:left="568"/>
    </w:pPr>
    <w:rPr>
      <w:rFonts w:ascii="Arial" w:hAnsi="Arial" w:eastAsia="Arial" w:cs="Arial"/>
      <w:b/>
      <w:bCs/>
      <w:sz w:val="22"/>
      <w:szCs w:val="22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2025-06-09T06:02:36Z</dcterms:created>
  <dcterms:modified xsi:type="dcterms:W3CDTF">2025-06-09T06:02:36Z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2025-06-09T00:00:00Z</vt:filetime>
  </property>
  <property fmtid="{D5CDD505-2E9C-101B-9397-08002B2CF9AE}" pid="3" name="LastSaved">
    <vt:filetime>2025-06-09T00:00:00Z</vt:filetime>
  </property>
  <property fmtid="{D5CDD505-2E9C-101B-9397-08002B2CF9AE}" pid="4" name="Producer">
    <vt:lpwstr>iLovePDF</vt:lpwstr>
  </property>
</Properties>
</file>