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2DB8" w:rsidRDefault="009F73BB"/>
    <w:p w:rsidR="009F73BB" w:rsidRPr="009F73BB" w:rsidRDefault="009F73BB" w:rsidP="009F73BB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pacing w:val="-2"/>
          <w:szCs w:val="20"/>
          <w:u w:val="single"/>
          <w:lang w:eastAsia="es-ES"/>
        </w:rPr>
      </w:pPr>
      <w:r w:rsidRPr="009F73BB">
        <w:rPr>
          <w:rFonts w:ascii="Arial" w:eastAsia="Times New Roman" w:hAnsi="Arial" w:cs="Arial"/>
          <w:b/>
          <w:bCs/>
          <w:spacing w:val="-2"/>
          <w:szCs w:val="20"/>
          <w:u w:val="single"/>
          <w:lang w:eastAsia="es-ES"/>
        </w:rPr>
        <w:t>ANNEX 2</w:t>
      </w:r>
    </w:p>
    <w:p w:rsidR="009F73BB" w:rsidRPr="009F73BB" w:rsidRDefault="009F73BB" w:rsidP="009F73BB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pacing w:val="-2"/>
          <w:szCs w:val="20"/>
          <w:highlight w:val="yellow"/>
          <w:u w:val="single"/>
          <w:lang w:eastAsia="es-ES"/>
        </w:rPr>
      </w:pPr>
    </w:p>
    <w:p w:rsidR="009F73BB" w:rsidRPr="009F73BB" w:rsidRDefault="009F73BB" w:rsidP="009F73BB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b/>
          <w:caps/>
          <w:spacing w:val="-2"/>
          <w:sz w:val="20"/>
          <w:szCs w:val="20"/>
          <w:lang w:eastAsia="es-ES"/>
        </w:rPr>
      </w:pPr>
    </w:p>
    <w:p w:rsidR="009F73BB" w:rsidRPr="009F73BB" w:rsidRDefault="009F73BB" w:rsidP="009F73BB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b/>
          <w:caps/>
          <w:spacing w:val="-2"/>
          <w:sz w:val="20"/>
          <w:szCs w:val="20"/>
          <w:lang w:eastAsia="es-ES"/>
        </w:rPr>
      </w:pPr>
    </w:p>
    <w:p w:rsidR="009F73BB" w:rsidRPr="009F73BB" w:rsidRDefault="009F73BB" w:rsidP="009F73BB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b/>
          <w:color w:val="0070C0"/>
          <w:spacing w:val="-2"/>
          <w:sz w:val="20"/>
          <w:szCs w:val="20"/>
          <w:lang w:val="es-ES" w:eastAsia="ca-ES"/>
        </w:rPr>
      </w:pPr>
      <w:r w:rsidRPr="009F73BB">
        <w:rPr>
          <w:rFonts w:ascii="Arial" w:eastAsia="Times New Roman" w:hAnsi="Arial" w:cs="Arial"/>
          <w:b/>
          <w:caps/>
          <w:spacing w:val="-2"/>
          <w:sz w:val="20"/>
          <w:szCs w:val="20"/>
          <w:lang w:eastAsia="es-ES"/>
        </w:rPr>
        <w:t xml:space="preserve">Model DE DESGLOSSAMENT DEL PRESSUPOST BASE DE LICITACIÓ </w:t>
      </w:r>
    </w:p>
    <w:p w:rsidR="009F73BB" w:rsidRPr="009F73BB" w:rsidRDefault="009F73BB" w:rsidP="009F73BB">
      <w:pPr>
        <w:tabs>
          <w:tab w:val="left" w:pos="-720"/>
        </w:tabs>
        <w:suppressAutoHyphens/>
        <w:spacing w:after="0" w:line="240" w:lineRule="auto"/>
        <w:jc w:val="both"/>
        <w:outlineLvl w:val="0"/>
        <w:rPr>
          <w:rFonts w:ascii="Arial" w:eastAsia="Times New Roman" w:hAnsi="Arial" w:cs="Arial"/>
          <w:b/>
          <w:caps/>
          <w:spacing w:val="-2"/>
          <w:sz w:val="20"/>
          <w:szCs w:val="20"/>
          <w:lang w:eastAsia="es-ES"/>
        </w:rPr>
      </w:pPr>
    </w:p>
    <w:p w:rsidR="009F73BB" w:rsidRPr="009F73BB" w:rsidRDefault="009F73BB" w:rsidP="009F73BB">
      <w:pPr>
        <w:spacing w:after="0" w:line="240" w:lineRule="auto"/>
        <w:jc w:val="both"/>
        <w:rPr>
          <w:rFonts w:ascii="Arial" w:eastAsia="Times New Roman" w:hAnsi="Arial" w:cs="Arial"/>
          <w:bCs/>
          <w:noProof/>
          <w:sz w:val="20"/>
          <w:szCs w:val="20"/>
          <w:lang w:eastAsia="es-ES"/>
        </w:rPr>
      </w:pPr>
      <w:r w:rsidRPr="009F73BB">
        <w:rPr>
          <w:rFonts w:ascii="Arial" w:eastAsia="Times New Roman" w:hAnsi="Arial" w:cs="Arial"/>
          <w:bCs/>
          <w:noProof/>
          <w:spacing w:val="-2"/>
          <w:sz w:val="20"/>
          <w:szCs w:val="20"/>
          <w:lang w:eastAsia="es-ES"/>
        </w:rPr>
        <w:t xml:space="preserve">En relació al pressupost base de licitació del contracte d’obres anomenat </w:t>
      </w:r>
      <w:r w:rsidRPr="009F73BB">
        <w:rPr>
          <w:rFonts w:ascii="Arial" w:eastAsia="Times New Roman" w:hAnsi="Arial" w:cs="Arial"/>
          <w:b/>
          <w:bCs/>
          <w:noProof/>
          <w:sz w:val="20"/>
          <w:szCs w:val="20"/>
          <w:lang w:eastAsia="es-ES"/>
        </w:rPr>
        <w:t xml:space="preserve">“Centre del Parc Agrari de Can Gambús - Vallcorba. Fase 1. Sector 1 magatzem agrari. Sabadell” </w:t>
      </w:r>
      <w:r w:rsidRPr="009F73BB">
        <w:rPr>
          <w:rFonts w:ascii="Arial" w:eastAsia="Times New Roman" w:hAnsi="Arial" w:cs="Arial"/>
          <w:bCs/>
          <w:noProof/>
          <w:spacing w:val="-2"/>
          <w:sz w:val="20"/>
          <w:szCs w:val="20"/>
          <w:lang w:eastAsia="es-ES"/>
        </w:rPr>
        <w:t>es fa constar que el desglossament és el que a continuació es detalla, en compliment de la previsió establerta a l’article 100 de la Llei 9/2017, de 8 de novembre, de contractes del sector públic</w:t>
      </w:r>
      <w:r w:rsidRPr="009F73BB">
        <w:rPr>
          <w:rFonts w:ascii="Arial" w:eastAsia="Times New Roman" w:hAnsi="Arial" w:cs="Arial"/>
          <w:bCs/>
          <w:noProof/>
          <w:sz w:val="20"/>
          <w:szCs w:val="20"/>
          <w:lang w:eastAsia="es-ES"/>
        </w:rPr>
        <w:t xml:space="preserve">, per la qual es transposen a l’ordenament jurídic espanyol les Directives del Parlament Europeu i dels Consell 2014/23/UE i 2014/24/UE, de 26 de febrer:  </w:t>
      </w:r>
    </w:p>
    <w:p w:rsidR="009F73BB" w:rsidRPr="009F73BB" w:rsidRDefault="009F73BB" w:rsidP="009F73BB">
      <w:pPr>
        <w:spacing w:after="0" w:line="240" w:lineRule="auto"/>
        <w:jc w:val="both"/>
        <w:rPr>
          <w:rFonts w:ascii="Arial" w:eastAsia="Times New Roman" w:hAnsi="Arial" w:cs="Arial"/>
          <w:sz w:val="20"/>
          <w:szCs w:val="24"/>
          <w:lang w:eastAsia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64"/>
        <w:gridCol w:w="3230"/>
      </w:tblGrid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Enderrocs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14.611,16 €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Moviment de terres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12.270,92 €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Gestió de residus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6.108,41 €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Fonamentació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31.017,61 €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Estructura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100.220,14 €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Ram de paleta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30.754,44 €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Paviments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42.715,16 €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Coberta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49.503,67 €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Revestiments i acabats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2.776,49 €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Aïllaments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3.595,79 €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Instal·lacions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55.370,64 €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Fusteria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5.154,15 €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Serralleria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14.837,12 €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Sanitaris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807,87 €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Urbanització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20.670,99 €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Seguretat i salut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5.853,86 €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b/>
                <w:spacing w:val="-2"/>
                <w:sz w:val="20"/>
                <w:szCs w:val="24"/>
                <w:lang w:eastAsia="es-ES"/>
              </w:rPr>
              <w:t>Pressupost d’execució material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b/>
                <w:spacing w:val="-2"/>
                <w:sz w:val="20"/>
                <w:szCs w:val="24"/>
                <w:lang w:eastAsia="es-ES"/>
              </w:rPr>
              <w:t>396.268,42 €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13 % Despeses generals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51.514,89 €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6 % Benefici industrial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23.776,11 €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4"/>
                <w:lang w:eastAsia="es-ES"/>
              </w:rPr>
            </w:pPr>
            <w:proofErr w:type="spellStart"/>
            <w:r w:rsidRPr="009F73BB">
              <w:rPr>
                <w:rFonts w:ascii="Arial" w:eastAsia="Times New Roman" w:hAnsi="Arial" w:cs="Arial"/>
                <w:b/>
                <w:spacing w:val="-2"/>
                <w:sz w:val="20"/>
                <w:szCs w:val="24"/>
                <w:lang w:eastAsia="es-ES"/>
              </w:rPr>
              <w:t>Subtotal</w:t>
            </w:r>
            <w:proofErr w:type="spellEnd"/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b/>
                <w:spacing w:val="-2"/>
                <w:sz w:val="20"/>
                <w:szCs w:val="24"/>
                <w:lang w:eastAsia="es-ES"/>
              </w:rPr>
              <w:t>471.559,42 €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21% IVA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spacing w:val="-2"/>
                <w:sz w:val="20"/>
                <w:szCs w:val="24"/>
                <w:lang w:eastAsia="es-ES"/>
              </w:rPr>
              <w:t>99.027,48 €</w:t>
            </w:r>
          </w:p>
        </w:tc>
      </w:tr>
      <w:tr w:rsidR="009F73BB" w:rsidRPr="009F73BB" w:rsidTr="001B2A99">
        <w:tc>
          <w:tcPr>
            <w:tcW w:w="592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b/>
                <w:spacing w:val="-2"/>
                <w:sz w:val="20"/>
                <w:szCs w:val="24"/>
                <w:lang w:eastAsia="es-ES"/>
              </w:rPr>
              <w:t>Total Pressupost per Contracte</w:t>
            </w:r>
          </w:p>
        </w:tc>
        <w:tc>
          <w:tcPr>
            <w:tcW w:w="3580" w:type="dxa"/>
            <w:shd w:val="clear" w:color="auto" w:fill="auto"/>
          </w:tcPr>
          <w:p w:rsidR="009F73BB" w:rsidRPr="009F73BB" w:rsidRDefault="009F73BB" w:rsidP="009F73BB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pacing w:val="-2"/>
                <w:sz w:val="20"/>
                <w:szCs w:val="24"/>
                <w:lang w:eastAsia="es-ES"/>
              </w:rPr>
            </w:pPr>
            <w:r w:rsidRPr="009F73BB">
              <w:rPr>
                <w:rFonts w:ascii="Arial" w:eastAsia="Times New Roman" w:hAnsi="Arial" w:cs="Arial"/>
                <w:b/>
                <w:spacing w:val="-2"/>
                <w:sz w:val="20"/>
                <w:szCs w:val="24"/>
                <w:lang w:eastAsia="es-ES"/>
              </w:rPr>
              <w:t>570.586,90 €</w:t>
            </w:r>
          </w:p>
        </w:tc>
      </w:tr>
    </w:tbl>
    <w:p w:rsidR="009F73BB" w:rsidRPr="009F73BB" w:rsidRDefault="009F73BB" w:rsidP="009F73BB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9F73BB" w:rsidRPr="009F73BB" w:rsidRDefault="009F73BB" w:rsidP="009F73BB">
      <w:pPr>
        <w:spacing w:after="0" w:line="240" w:lineRule="auto"/>
        <w:jc w:val="both"/>
        <w:rPr>
          <w:rFonts w:ascii="Arial" w:eastAsia="Times New Roman" w:hAnsi="Arial" w:cs="Arial"/>
          <w:b/>
          <w:spacing w:val="-2"/>
          <w:sz w:val="20"/>
          <w:szCs w:val="24"/>
          <w:lang w:eastAsia="es-ES"/>
        </w:rPr>
      </w:pPr>
    </w:p>
    <w:p w:rsidR="009F73BB" w:rsidRPr="009F73BB" w:rsidRDefault="009F73BB" w:rsidP="009F73B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highlight w:val="yellow"/>
          <w:lang w:eastAsia="es-ES"/>
        </w:rPr>
      </w:pPr>
    </w:p>
    <w:p w:rsidR="009F73BB" w:rsidRPr="009F73BB" w:rsidRDefault="009F73BB" w:rsidP="009F73B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9F73BB">
        <w:rPr>
          <w:rFonts w:ascii="Arial" w:eastAsia="Times New Roman" w:hAnsi="Arial" w:cs="Arial"/>
          <w:sz w:val="20"/>
          <w:szCs w:val="20"/>
          <w:lang w:eastAsia="es-ES"/>
        </w:rPr>
        <w:t>El banc de preus utilitzat per al càlcul del pressupost és del BEDEC 2021 de l’ITEC, d’edificació per a obres de PEM fins a 1,710M € a la província de Barcelona, realitzat amb els costos de mà d’obra, maquinària i materials de mercat, essent el coeficient de despeses indirectes del 5,0%. Aquests preus del ITEC contemplen els convenis col·lectius aplicables.</w:t>
      </w:r>
    </w:p>
    <w:p w:rsidR="009F73BB" w:rsidRPr="009F73BB" w:rsidRDefault="009F73BB" w:rsidP="009F73BB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:rsidR="009F73BB" w:rsidRPr="009F73BB" w:rsidRDefault="009F73BB" w:rsidP="009F73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9F73BB" w:rsidRPr="009F73BB" w:rsidRDefault="009F73BB" w:rsidP="009F73BB">
      <w:pPr>
        <w:spacing w:after="0" w:line="240" w:lineRule="auto"/>
        <w:rPr>
          <w:rFonts w:ascii="Arial" w:eastAsia="Times New Roman" w:hAnsi="Arial" w:cs="Arial"/>
          <w:b/>
          <w:bCs/>
          <w:lang w:eastAsia="es-ES"/>
        </w:rPr>
      </w:pPr>
    </w:p>
    <w:p w:rsidR="009F73BB" w:rsidRPr="009F73BB" w:rsidRDefault="009F73BB" w:rsidP="009F73BB">
      <w:pPr>
        <w:spacing w:after="0" w:line="240" w:lineRule="auto"/>
        <w:rPr>
          <w:rFonts w:ascii="Arial" w:eastAsia="Times New Roman" w:hAnsi="Arial" w:cs="Arial"/>
          <w:b/>
          <w:bCs/>
          <w:lang w:eastAsia="es-ES"/>
        </w:rPr>
      </w:pPr>
    </w:p>
    <w:p w:rsidR="009F73BB" w:rsidRDefault="009F73BB">
      <w:bookmarkStart w:id="0" w:name="_GoBack"/>
      <w:bookmarkEnd w:id="0"/>
    </w:p>
    <w:sectPr w:rsidR="009F73BB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3BB" w:rsidRDefault="009F73BB" w:rsidP="009F73BB">
      <w:pPr>
        <w:spacing w:after="0" w:line="240" w:lineRule="auto"/>
      </w:pPr>
      <w:r>
        <w:separator/>
      </w:r>
    </w:p>
  </w:endnote>
  <w:endnote w:type="continuationSeparator" w:id="0">
    <w:p w:rsidR="009F73BB" w:rsidRDefault="009F73BB" w:rsidP="009F73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3BB" w:rsidRDefault="009F73BB" w:rsidP="009F73BB">
      <w:pPr>
        <w:spacing w:after="0" w:line="240" w:lineRule="auto"/>
      </w:pPr>
      <w:r>
        <w:separator/>
      </w:r>
    </w:p>
  </w:footnote>
  <w:footnote w:type="continuationSeparator" w:id="0">
    <w:p w:rsidR="009F73BB" w:rsidRDefault="009F73BB" w:rsidP="009F73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3BB" w:rsidRDefault="009F73BB">
    <w:pPr>
      <w:pStyle w:val="Encabezado"/>
    </w:pPr>
    <w:r>
      <w:rPr>
        <w:rFonts w:ascii="Arial" w:hAnsi="Arial" w:cs="Arial"/>
        <w:noProof/>
        <w:sz w:val="18"/>
        <w:lang w:val="es-ES" w:eastAsia="es-ES"/>
      </w:rPr>
      <w:drawing>
        <wp:inline distT="0" distB="0" distL="0" distR="0">
          <wp:extent cx="5400040" cy="1049838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104983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410"/>
    <w:rsid w:val="001E154C"/>
    <w:rsid w:val="00600410"/>
    <w:rsid w:val="00717E01"/>
    <w:rsid w:val="00935050"/>
    <w:rsid w:val="009F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867150-09E7-41BF-99ED-AE7AA1EA6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F73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F73BB"/>
    <w:rPr>
      <w:lang w:val="ca-ES"/>
    </w:rPr>
  </w:style>
  <w:style w:type="paragraph" w:styleId="Piedepgina">
    <w:name w:val="footer"/>
    <w:basedOn w:val="Normal"/>
    <w:link w:val="PiedepginaCar"/>
    <w:uiPriority w:val="99"/>
    <w:unhideWhenUsed/>
    <w:rsid w:val="009F73B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F73BB"/>
    <w:rPr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243</Words>
  <Characters>1338</Characters>
  <Application>Microsoft Office Word</Application>
  <DocSecurity>0</DocSecurity>
  <Lines>11</Lines>
  <Paragraphs>3</Paragraphs>
  <ScaleCrop>false</ScaleCrop>
  <Company>Ajuntament de Sabadell</Company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Fajeda R Anna OBRES</dc:creator>
  <cp:keywords/>
  <dc:description/>
  <cp:lastModifiedBy>Fajeda R Anna OBRES</cp:lastModifiedBy>
  <cp:revision>2</cp:revision>
  <dcterms:created xsi:type="dcterms:W3CDTF">2022-07-13T10:35:00Z</dcterms:created>
  <dcterms:modified xsi:type="dcterms:W3CDTF">2022-07-13T10:36:00Z</dcterms:modified>
</cp:coreProperties>
</file>