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5D7" w:rsidRDefault="00CC3A4B">
      <w:pPr>
        <w:pStyle w:val="Textoindependiente"/>
        <w:ind w:left="151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914241" cy="323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241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5D7" w:rsidRDefault="00EC25D7">
      <w:pPr>
        <w:pStyle w:val="Textoindependiente"/>
        <w:spacing w:before="6"/>
        <w:rPr>
          <w:rFonts w:ascii="Times New Roman"/>
          <w:sz w:val="26"/>
        </w:rPr>
      </w:pPr>
    </w:p>
    <w:p w:rsidR="00EC25D7" w:rsidRDefault="00CC3A4B">
      <w:pPr>
        <w:pStyle w:val="Puesto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2</w:t>
      </w:r>
    </w:p>
    <w:p w:rsidR="00EC25D7" w:rsidRDefault="00EC25D7">
      <w:pPr>
        <w:pStyle w:val="Textoindependiente"/>
        <w:spacing w:before="4"/>
        <w:rPr>
          <w:rFonts w:ascii="Arial"/>
          <w:b/>
          <w:sz w:val="13"/>
        </w:rPr>
      </w:pPr>
    </w:p>
    <w:p w:rsidR="00EC25D7" w:rsidRDefault="00CC3A4B">
      <w:pPr>
        <w:spacing w:before="99"/>
        <w:ind w:left="15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DESGLOSSAMENT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PRESSUPOST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BASE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LICITACIÓ</w:t>
      </w:r>
    </w:p>
    <w:p w:rsidR="00EC25D7" w:rsidRPr="00CC3A4B" w:rsidRDefault="00EC25D7">
      <w:pPr>
        <w:pStyle w:val="Textoindependiente"/>
        <w:spacing w:before="10"/>
        <w:rPr>
          <w:rFonts w:ascii="Arial" w:hAnsi="Arial" w:cs="Arial"/>
          <w:b/>
          <w:sz w:val="19"/>
        </w:rPr>
      </w:pPr>
    </w:p>
    <w:p w:rsidR="00EC25D7" w:rsidRPr="00CC3A4B" w:rsidRDefault="00CC3A4B">
      <w:pPr>
        <w:spacing w:line="242" w:lineRule="auto"/>
        <w:ind w:left="151" w:right="201" w:hanging="1"/>
        <w:jc w:val="both"/>
        <w:rPr>
          <w:rFonts w:ascii="Arial" w:hAnsi="Arial" w:cs="Arial"/>
          <w:sz w:val="20"/>
        </w:rPr>
      </w:pPr>
      <w:r w:rsidRPr="00CC3A4B">
        <w:rPr>
          <w:rFonts w:ascii="Arial" w:hAnsi="Arial" w:cs="Arial"/>
          <w:sz w:val="20"/>
        </w:rPr>
        <w:t>En</w:t>
      </w:r>
      <w:r w:rsidRPr="00CC3A4B">
        <w:rPr>
          <w:rFonts w:ascii="Arial" w:hAnsi="Arial" w:cs="Arial"/>
          <w:spacing w:val="-6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relació</w:t>
      </w:r>
      <w:r w:rsidRPr="00CC3A4B">
        <w:rPr>
          <w:rFonts w:ascii="Arial" w:hAnsi="Arial" w:cs="Arial"/>
          <w:spacing w:val="-6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amb</w:t>
      </w:r>
      <w:r w:rsidRPr="00CC3A4B">
        <w:rPr>
          <w:rFonts w:ascii="Arial" w:hAnsi="Arial" w:cs="Arial"/>
          <w:spacing w:val="-8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el</w:t>
      </w:r>
      <w:r w:rsidRPr="00CC3A4B">
        <w:rPr>
          <w:rFonts w:ascii="Arial" w:hAnsi="Arial" w:cs="Arial"/>
          <w:spacing w:val="-6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pressupost</w:t>
      </w:r>
      <w:r w:rsidRPr="00CC3A4B">
        <w:rPr>
          <w:rFonts w:ascii="Arial" w:hAnsi="Arial" w:cs="Arial"/>
          <w:spacing w:val="-8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base</w:t>
      </w:r>
      <w:r w:rsidRPr="00CC3A4B">
        <w:rPr>
          <w:rFonts w:ascii="Arial" w:hAnsi="Arial" w:cs="Arial"/>
          <w:spacing w:val="-5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-6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licitació</w:t>
      </w:r>
      <w:r w:rsidRPr="00CC3A4B">
        <w:rPr>
          <w:rFonts w:ascii="Arial" w:hAnsi="Arial" w:cs="Arial"/>
          <w:spacing w:val="-4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del</w:t>
      </w:r>
      <w:r w:rsidRPr="00CC3A4B">
        <w:rPr>
          <w:rFonts w:ascii="Arial" w:hAnsi="Arial" w:cs="Arial"/>
          <w:spacing w:val="-6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contracte</w:t>
      </w:r>
      <w:r w:rsidRPr="00CC3A4B">
        <w:rPr>
          <w:rFonts w:ascii="Arial" w:hAnsi="Arial" w:cs="Arial"/>
          <w:spacing w:val="-6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“Redacció,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implantació</w:t>
      </w:r>
      <w:r w:rsidRPr="00CC3A4B">
        <w:rPr>
          <w:rFonts w:ascii="Arial" w:hAnsi="Arial" w:cs="Arial"/>
          <w:b/>
          <w:spacing w:val="-5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i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actualització</w:t>
      </w:r>
      <w:r w:rsidRPr="00CC3A4B">
        <w:rPr>
          <w:rFonts w:ascii="Arial" w:hAnsi="Arial" w:cs="Arial"/>
          <w:b/>
          <w:spacing w:val="-53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de</w:t>
      </w:r>
      <w:r w:rsidRPr="00CC3A4B">
        <w:rPr>
          <w:rFonts w:ascii="Arial" w:hAnsi="Arial" w:cs="Arial"/>
          <w:b/>
          <w:spacing w:val="-7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plans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d’autoprotecció</w:t>
      </w:r>
      <w:r w:rsidRPr="00CC3A4B">
        <w:rPr>
          <w:rFonts w:ascii="Arial" w:hAnsi="Arial" w:cs="Arial"/>
          <w:b/>
          <w:spacing w:val="-3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en</w:t>
      </w:r>
      <w:r w:rsidRPr="00CC3A4B">
        <w:rPr>
          <w:rFonts w:ascii="Arial" w:hAnsi="Arial" w:cs="Arial"/>
          <w:b/>
          <w:spacing w:val="-5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3</w:t>
      </w:r>
      <w:r w:rsidRPr="00CC3A4B">
        <w:rPr>
          <w:rFonts w:ascii="Arial" w:hAnsi="Arial" w:cs="Arial"/>
          <w:b/>
          <w:spacing w:val="-7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lots.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lot</w:t>
      </w:r>
      <w:r w:rsidRPr="00CC3A4B">
        <w:rPr>
          <w:rFonts w:ascii="Arial" w:hAnsi="Arial" w:cs="Arial"/>
          <w:b/>
          <w:spacing w:val="-5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1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PAU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La</w:t>
      </w:r>
      <w:r w:rsidRPr="00CC3A4B">
        <w:rPr>
          <w:rFonts w:ascii="Arial" w:hAnsi="Arial" w:cs="Arial"/>
          <w:b/>
          <w:spacing w:val="-7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Faràndula,</w:t>
      </w:r>
      <w:r w:rsidRPr="00CC3A4B">
        <w:rPr>
          <w:rFonts w:ascii="Arial" w:hAnsi="Arial" w:cs="Arial"/>
          <w:b/>
          <w:spacing w:val="-5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lot</w:t>
      </w:r>
      <w:r w:rsidRPr="00CC3A4B">
        <w:rPr>
          <w:rFonts w:ascii="Arial" w:hAnsi="Arial" w:cs="Arial"/>
          <w:b/>
          <w:spacing w:val="-5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2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PAU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Biblioteca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Vapor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Badia</w:t>
      </w:r>
      <w:r w:rsidRPr="00CC3A4B">
        <w:rPr>
          <w:rFonts w:ascii="Arial" w:hAnsi="Arial" w:cs="Arial"/>
          <w:b/>
          <w:spacing w:val="-4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>i</w:t>
      </w:r>
      <w:r w:rsidRPr="00CC3A4B">
        <w:rPr>
          <w:rFonts w:ascii="Arial" w:hAnsi="Arial" w:cs="Arial"/>
          <w:b/>
          <w:spacing w:val="-53"/>
          <w:sz w:val="20"/>
        </w:rPr>
        <w:t xml:space="preserve"> </w:t>
      </w:r>
      <w:r w:rsidRPr="00CC3A4B">
        <w:rPr>
          <w:rFonts w:ascii="Arial" w:hAnsi="Arial" w:cs="Arial"/>
          <w:b/>
          <w:sz w:val="20"/>
        </w:rPr>
        <w:t xml:space="preserve">lot 3 PAU La Bassa”, </w:t>
      </w:r>
      <w:r w:rsidRPr="00CC3A4B">
        <w:rPr>
          <w:rFonts w:ascii="Arial" w:hAnsi="Arial" w:cs="Arial"/>
          <w:sz w:val="20"/>
        </w:rPr>
        <w:t>es fa constar que el desglossament és el que a continuació es detalla, en</w:t>
      </w:r>
      <w:r w:rsidRPr="00CC3A4B">
        <w:rPr>
          <w:rFonts w:ascii="Arial" w:hAnsi="Arial" w:cs="Arial"/>
          <w:spacing w:val="1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compliment</w:t>
      </w:r>
      <w:r w:rsidRPr="00CC3A4B">
        <w:rPr>
          <w:rFonts w:ascii="Arial" w:hAnsi="Arial" w:cs="Arial"/>
          <w:spacing w:val="-11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la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previsió</w:t>
      </w:r>
      <w:r w:rsidRPr="00CC3A4B">
        <w:rPr>
          <w:rFonts w:ascii="Arial" w:hAnsi="Arial" w:cs="Arial"/>
          <w:spacing w:val="-12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establerta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a</w:t>
      </w:r>
      <w:r w:rsidRPr="00CC3A4B">
        <w:rPr>
          <w:rFonts w:ascii="Arial" w:hAnsi="Arial" w:cs="Arial"/>
          <w:spacing w:val="-11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l’article</w:t>
      </w:r>
      <w:r w:rsidRPr="00CC3A4B">
        <w:rPr>
          <w:rFonts w:ascii="Arial" w:hAnsi="Arial" w:cs="Arial"/>
          <w:spacing w:val="-12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100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la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Llei</w:t>
      </w:r>
      <w:r w:rsidRPr="00CC3A4B">
        <w:rPr>
          <w:rFonts w:ascii="Arial" w:hAnsi="Arial" w:cs="Arial"/>
          <w:spacing w:val="-9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9/2017,</w:t>
      </w:r>
      <w:r w:rsidRPr="00CC3A4B">
        <w:rPr>
          <w:rFonts w:ascii="Arial" w:hAnsi="Arial" w:cs="Arial"/>
          <w:spacing w:val="-8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-7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8</w:t>
      </w:r>
      <w:r w:rsidRPr="00CC3A4B">
        <w:rPr>
          <w:rFonts w:ascii="Arial" w:hAnsi="Arial" w:cs="Arial"/>
          <w:spacing w:val="-5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-7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novembre,</w:t>
      </w:r>
      <w:r w:rsidRPr="00CC3A4B">
        <w:rPr>
          <w:rFonts w:ascii="Arial" w:hAnsi="Arial" w:cs="Arial"/>
          <w:spacing w:val="-7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-8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contractes</w:t>
      </w:r>
      <w:r w:rsidRPr="00CC3A4B">
        <w:rPr>
          <w:rFonts w:ascii="Arial" w:hAnsi="Arial" w:cs="Arial"/>
          <w:spacing w:val="-50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del sector públic, per la qual es transposen a l’ordenament jurídic espanyol les Directives del</w:t>
      </w:r>
      <w:r w:rsidRPr="00CC3A4B">
        <w:rPr>
          <w:rFonts w:ascii="Arial" w:hAnsi="Arial" w:cs="Arial"/>
          <w:spacing w:val="1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Parlament Europeu</w:t>
      </w:r>
      <w:r w:rsidRPr="00CC3A4B">
        <w:rPr>
          <w:rFonts w:ascii="Arial" w:hAnsi="Arial" w:cs="Arial"/>
          <w:spacing w:val="3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i dels</w:t>
      </w:r>
      <w:r w:rsidRPr="00CC3A4B">
        <w:rPr>
          <w:rFonts w:ascii="Arial" w:hAnsi="Arial" w:cs="Arial"/>
          <w:spacing w:val="2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Consell</w:t>
      </w:r>
      <w:r w:rsidRPr="00CC3A4B">
        <w:rPr>
          <w:rFonts w:ascii="Arial" w:hAnsi="Arial" w:cs="Arial"/>
          <w:spacing w:val="1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2014/23/UE</w:t>
      </w:r>
      <w:r w:rsidRPr="00CC3A4B">
        <w:rPr>
          <w:rFonts w:ascii="Arial" w:hAnsi="Arial" w:cs="Arial"/>
          <w:spacing w:val="2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i 2014/24/UE,</w:t>
      </w:r>
      <w:r w:rsidRPr="00CC3A4B">
        <w:rPr>
          <w:rFonts w:ascii="Arial" w:hAnsi="Arial" w:cs="Arial"/>
          <w:spacing w:val="3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3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26</w:t>
      </w:r>
      <w:r w:rsidRPr="00CC3A4B">
        <w:rPr>
          <w:rFonts w:ascii="Arial" w:hAnsi="Arial" w:cs="Arial"/>
          <w:spacing w:val="3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de</w:t>
      </w:r>
      <w:r w:rsidRPr="00CC3A4B">
        <w:rPr>
          <w:rFonts w:ascii="Arial" w:hAnsi="Arial" w:cs="Arial"/>
          <w:spacing w:val="1"/>
          <w:sz w:val="20"/>
        </w:rPr>
        <w:t xml:space="preserve"> </w:t>
      </w:r>
      <w:r w:rsidRPr="00CC3A4B">
        <w:rPr>
          <w:rFonts w:ascii="Arial" w:hAnsi="Arial" w:cs="Arial"/>
          <w:sz w:val="20"/>
        </w:rPr>
        <w:t>gener:</w:t>
      </w:r>
    </w:p>
    <w:p w:rsidR="00EC25D7" w:rsidRPr="00CC3A4B" w:rsidRDefault="00EC25D7">
      <w:pPr>
        <w:pStyle w:val="Textoindependiente"/>
        <w:spacing w:before="9"/>
        <w:rPr>
          <w:rFonts w:ascii="Arial" w:hAnsi="Arial" w:cs="Arial"/>
          <w:sz w:val="22"/>
        </w:rPr>
      </w:pPr>
      <w:bookmarkStart w:id="0" w:name="_GoBack"/>
      <w:bookmarkEnd w:id="0"/>
    </w:p>
    <w:p w:rsidR="00EC25D7" w:rsidRDefault="00CC3A4B">
      <w:pPr>
        <w:pStyle w:val="Textoindependiente"/>
        <w:spacing w:line="244" w:lineRule="auto"/>
        <w:ind w:left="151" w:right="201"/>
        <w:jc w:val="both"/>
      </w:pPr>
      <w:r w:rsidRPr="00CC3A4B">
        <w:rPr>
          <w:rFonts w:ascii="Arial" w:hAnsi="Arial" w:cs="Arial"/>
        </w:rPr>
        <w:t>L’informe tècnic indica que l’actual contracte de serveis de “Redacció, implantació i</w:t>
      </w:r>
      <w:r w:rsidRPr="00CC3A4B">
        <w:rPr>
          <w:rFonts w:ascii="Arial" w:hAnsi="Arial" w:cs="Arial"/>
        </w:rPr>
        <w:t xml:space="preserve"> actualització de</w:t>
      </w:r>
      <w:r w:rsidRPr="00CC3A4B">
        <w:rPr>
          <w:rFonts w:ascii="Arial" w:hAnsi="Arial" w:cs="Arial"/>
          <w:spacing w:val="1"/>
        </w:rPr>
        <w:t xml:space="preserve"> </w:t>
      </w:r>
      <w:r w:rsidRPr="00CC3A4B">
        <w:rPr>
          <w:rFonts w:ascii="Arial" w:hAnsi="Arial" w:cs="Arial"/>
        </w:rPr>
        <w:t>plans</w:t>
      </w:r>
      <w:r w:rsidRPr="00CC3A4B">
        <w:rPr>
          <w:rFonts w:ascii="Arial" w:hAnsi="Arial" w:cs="Arial"/>
          <w:spacing w:val="-5"/>
        </w:rPr>
        <w:t xml:space="preserve"> </w:t>
      </w:r>
      <w:r w:rsidRPr="00CC3A4B">
        <w:rPr>
          <w:rFonts w:ascii="Arial" w:hAnsi="Arial" w:cs="Arial"/>
        </w:rPr>
        <w:t>d’autoprotecció</w:t>
      </w:r>
      <w:r w:rsidRPr="00CC3A4B">
        <w:rPr>
          <w:rFonts w:ascii="Arial" w:hAnsi="Arial" w:cs="Arial"/>
          <w:spacing w:val="-6"/>
        </w:rPr>
        <w:t xml:space="preserve"> </w:t>
      </w:r>
      <w:r w:rsidRPr="00CC3A4B">
        <w:rPr>
          <w:rFonts w:ascii="Arial" w:hAnsi="Arial" w:cs="Arial"/>
        </w:rPr>
        <w:t>en</w:t>
      </w:r>
      <w:r w:rsidRPr="00CC3A4B">
        <w:rPr>
          <w:rFonts w:ascii="Arial" w:hAnsi="Arial" w:cs="Arial"/>
          <w:spacing w:val="-7"/>
        </w:rPr>
        <w:t xml:space="preserve"> </w:t>
      </w:r>
      <w:r w:rsidRPr="00CC3A4B">
        <w:rPr>
          <w:rFonts w:ascii="Arial" w:hAnsi="Arial" w:cs="Arial"/>
        </w:rPr>
        <w:t>3</w:t>
      </w:r>
      <w:r w:rsidRPr="00CC3A4B">
        <w:rPr>
          <w:rFonts w:ascii="Arial" w:hAnsi="Arial" w:cs="Arial"/>
          <w:spacing w:val="-3"/>
        </w:rPr>
        <w:t xml:space="preserve"> </w:t>
      </w:r>
      <w:r w:rsidRPr="00CC3A4B">
        <w:rPr>
          <w:rFonts w:ascii="Arial" w:hAnsi="Arial" w:cs="Arial"/>
        </w:rPr>
        <w:t>lots.</w:t>
      </w:r>
      <w:r w:rsidRPr="00CC3A4B">
        <w:rPr>
          <w:rFonts w:ascii="Arial" w:hAnsi="Arial" w:cs="Arial"/>
          <w:spacing w:val="-5"/>
        </w:rPr>
        <w:t xml:space="preserve"> </w:t>
      </w:r>
      <w:r w:rsidRPr="00CC3A4B">
        <w:rPr>
          <w:rFonts w:ascii="Arial" w:hAnsi="Arial" w:cs="Arial"/>
        </w:rPr>
        <w:t>lot</w:t>
      </w:r>
      <w:r w:rsidRPr="00CC3A4B">
        <w:rPr>
          <w:rFonts w:ascii="Arial" w:hAnsi="Arial" w:cs="Arial"/>
          <w:spacing w:val="-6"/>
        </w:rPr>
        <w:t xml:space="preserve"> </w:t>
      </w:r>
      <w:r w:rsidRPr="00CC3A4B">
        <w:rPr>
          <w:rFonts w:ascii="Arial" w:hAnsi="Arial" w:cs="Arial"/>
        </w:rPr>
        <w:t>1</w:t>
      </w:r>
      <w:r w:rsidRPr="00CC3A4B">
        <w:rPr>
          <w:rFonts w:ascii="Arial" w:hAnsi="Arial" w:cs="Arial"/>
          <w:spacing w:val="-3"/>
        </w:rPr>
        <w:t xml:space="preserve"> </w:t>
      </w:r>
      <w:r w:rsidRPr="00CC3A4B">
        <w:rPr>
          <w:rFonts w:ascii="Arial" w:hAnsi="Arial" w:cs="Arial"/>
        </w:rPr>
        <w:t>PAU</w:t>
      </w:r>
      <w:r w:rsidRPr="00CC3A4B">
        <w:rPr>
          <w:rFonts w:ascii="Arial" w:hAnsi="Arial" w:cs="Arial"/>
          <w:spacing w:val="-4"/>
        </w:rPr>
        <w:t xml:space="preserve"> </w:t>
      </w:r>
      <w:r w:rsidRPr="00CC3A4B">
        <w:rPr>
          <w:rFonts w:ascii="Arial" w:hAnsi="Arial" w:cs="Arial"/>
        </w:rPr>
        <w:t>La</w:t>
      </w:r>
      <w:r w:rsidRPr="00CC3A4B">
        <w:rPr>
          <w:rFonts w:ascii="Arial" w:hAnsi="Arial" w:cs="Arial"/>
          <w:spacing w:val="-6"/>
        </w:rPr>
        <w:t xml:space="preserve"> </w:t>
      </w:r>
      <w:r w:rsidRPr="00CC3A4B">
        <w:rPr>
          <w:rFonts w:ascii="Arial" w:hAnsi="Arial" w:cs="Arial"/>
        </w:rPr>
        <w:t>Faràndula,</w:t>
      </w:r>
      <w:r w:rsidRPr="00CC3A4B">
        <w:rPr>
          <w:rFonts w:ascii="Arial" w:hAnsi="Arial" w:cs="Arial"/>
          <w:spacing w:val="-5"/>
        </w:rPr>
        <w:t xml:space="preserve"> </w:t>
      </w:r>
      <w:r w:rsidRPr="00CC3A4B">
        <w:rPr>
          <w:rFonts w:ascii="Arial" w:hAnsi="Arial" w:cs="Arial"/>
        </w:rPr>
        <w:t>lot</w:t>
      </w:r>
      <w:r w:rsidRPr="00CC3A4B">
        <w:rPr>
          <w:rFonts w:ascii="Arial" w:hAnsi="Arial" w:cs="Arial"/>
          <w:spacing w:val="-6"/>
        </w:rPr>
        <w:t xml:space="preserve"> </w:t>
      </w:r>
      <w:r w:rsidRPr="00CC3A4B">
        <w:rPr>
          <w:rFonts w:ascii="Arial" w:hAnsi="Arial" w:cs="Arial"/>
        </w:rPr>
        <w:t>2</w:t>
      </w:r>
      <w:r w:rsidRPr="00CC3A4B">
        <w:rPr>
          <w:rFonts w:ascii="Arial" w:hAnsi="Arial" w:cs="Arial"/>
          <w:spacing w:val="-3"/>
        </w:rPr>
        <w:t xml:space="preserve"> </w:t>
      </w:r>
      <w:r w:rsidRPr="00CC3A4B">
        <w:rPr>
          <w:rFonts w:ascii="Arial" w:hAnsi="Arial" w:cs="Arial"/>
        </w:rPr>
        <w:t>PAU</w:t>
      </w:r>
      <w:r w:rsidRPr="00CC3A4B">
        <w:rPr>
          <w:rFonts w:ascii="Arial" w:hAnsi="Arial" w:cs="Arial"/>
          <w:spacing w:val="-4"/>
        </w:rPr>
        <w:t xml:space="preserve"> </w:t>
      </w:r>
      <w:r w:rsidRPr="00CC3A4B">
        <w:rPr>
          <w:rFonts w:ascii="Arial" w:hAnsi="Arial" w:cs="Arial"/>
        </w:rPr>
        <w:t>Biblioteca</w:t>
      </w:r>
      <w:r w:rsidRPr="00CC3A4B">
        <w:rPr>
          <w:rFonts w:ascii="Arial" w:hAnsi="Arial" w:cs="Arial"/>
          <w:spacing w:val="-6"/>
        </w:rPr>
        <w:t xml:space="preserve"> </w:t>
      </w:r>
      <w:r w:rsidRPr="00CC3A4B">
        <w:rPr>
          <w:rFonts w:ascii="Arial" w:hAnsi="Arial" w:cs="Arial"/>
        </w:rPr>
        <w:t>Vapor</w:t>
      </w:r>
      <w:r w:rsidRPr="00CC3A4B">
        <w:rPr>
          <w:rFonts w:ascii="Arial" w:hAnsi="Arial" w:cs="Arial"/>
          <w:spacing w:val="-4"/>
        </w:rPr>
        <w:t xml:space="preserve"> </w:t>
      </w:r>
      <w:r w:rsidRPr="00CC3A4B">
        <w:rPr>
          <w:rFonts w:ascii="Arial" w:hAnsi="Arial" w:cs="Arial"/>
        </w:rPr>
        <w:t>Badia</w:t>
      </w:r>
      <w:r w:rsidRPr="00CC3A4B">
        <w:rPr>
          <w:rFonts w:ascii="Arial" w:hAnsi="Arial" w:cs="Arial"/>
          <w:spacing w:val="-4"/>
        </w:rPr>
        <w:t xml:space="preserve"> </w:t>
      </w:r>
      <w:r w:rsidRPr="00CC3A4B">
        <w:rPr>
          <w:rFonts w:ascii="Arial" w:hAnsi="Arial" w:cs="Arial"/>
        </w:rPr>
        <w:t>i</w:t>
      </w:r>
      <w:r w:rsidRPr="00CC3A4B">
        <w:rPr>
          <w:rFonts w:ascii="Arial" w:hAnsi="Arial" w:cs="Arial"/>
          <w:spacing w:val="-4"/>
        </w:rPr>
        <w:t xml:space="preserve"> </w:t>
      </w:r>
      <w:r w:rsidRPr="00CC3A4B">
        <w:rPr>
          <w:rFonts w:ascii="Arial" w:hAnsi="Arial" w:cs="Arial"/>
        </w:rPr>
        <w:t>lot</w:t>
      </w:r>
      <w:r w:rsidRPr="00CC3A4B">
        <w:rPr>
          <w:rFonts w:ascii="Arial" w:hAnsi="Arial" w:cs="Arial"/>
          <w:spacing w:val="-6"/>
        </w:rPr>
        <w:t xml:space="preserve"> </w:t>
      </w:r>
      <w:r w:rsidRPr="00CC3A4B">
        <w:rPr>
          <w:rFonts w:ascii="Arial" w:hAnsi="Arial" w:cs="Arial"/>
        </w:rPr>
        <w:t>3</w:t>
      </w:r>
      <w:r w:rsidRPr="00CC3A4B">
        <w:rPr>
          <w:rFonts w:ascii="Arial" w:hAnsi="Arial" w:cs="Arial"/>
          <w:spacing w:val="-3"/>
        </w:rPr>
        <w:t xml:space="preserve"> </w:t>
      </w:r>
      <w:r w:rsidRPr="00CC3A4B">
        <w:rPr>
          <w:rFonts w:ascii="Arial" w:hAnsi="Arial" w:cs="Arial"/>
        </w:rPr>
        <w:t>PAU</w:t>
      </w:r>
      <w:r w:rsidRPr="00CC3A4B">
        <w:rPr>
          <w:rFonts w:ascii="Arial" w:hAnsi="Arial" w:cs="Arial"/>
          <w:spacing w:val="-51"/>
        </w:rPr>
        <w:t xml:space="preserve"> </w:t>
      </w:r>
      <w:r w:rsidRPr="00CC3A4B">
        <w:rPr>
          <w:rFonts w:ascii="Arial" w:hAnsi="Arial" w:cs="Arial"/>
        </w:rPr>
        <w:t>La</w:t>
      </w:r>
      <w:r w:rsidRPr="00CC3A4B">
        <w:rPr>
          <w:rFonts w:ascii="Arial" w:hAnsi="Arial" w:cs="Arial"/>
          <w:spacing w:val="-12"/>
        </w:rPr>
        <w:t xml:space="preserve"> </w:t>
      </w:r>
      <w:r w:rsidRPr="00CC3A4B">
        <w:rPr>
          <w:rFonts w:ascii="Arial" w:hAnsi="Arial" w:cs="Arial"/>
        </w:rPr>
        <w:t>Bassa”</w:t>
      </w:r>
      <w:r w:rsidRPr="00CC3A4B">
        <w:rPr>
          <w:rFonts w:ascii="Arial" w:hAnsi="Arial" w:cs="Arial"/>
          <w:spacing w:val="-10"/>
        </w:rPr>
        <w:t xml:space="preserve"> </w:t>
      </w:r>
      <w:r w:rsidRPr="00CC3A4B">
        <w:rPr>
          <w:rFonts w:ascii="Arial" w:hAnsi="Arial" w:cs="Arial"/>
        </w:rPr>
        <w:t>inclou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un</w:t>
      </w:r>
      <w:r w:rsidRPr="00CC3A4B">
        <w:rPr>
          <w:rFonts w:ascii="Arial" w:hAnsi="Arial" w:cs="Arial"/>
          <w:spacing w:val="-12"/>
        </w:rPr>
        <w:t xml:space="preserve"> </w:t>
      </w:r>
      <w:r w:rsidRPr="00CC3A4B">
        <w:rPr>
          <w:rFonts w:ascii="Arial" w:hAnsi="Arial" w:cs="Arial"/>
        </w:rPr>
        <w:t>càlcul</w:t>
      </w:r>
      <w:r w:rsidRPr="00CC3A4B">
        <w:rPr>
          <w:rFonts w:ascii="Arial" w:hAnsi="Arial" w:cs="Arial"/>
          <w:spacing w:val="-10"/>
        </w:rPr>
        <w:t xml:space="preserve"> </w:t>
      </w:r>
      <w:r w:rsidRPr="00CC3A4B">
        <w:rPr>
          <w:rFonts w:ascii="Arial" w:hAnsi="Arial" w:cs="Arial"/>
        </w:rPr>
        <w:t>de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pressupost</w:t>
      </w:r>
      <w:r w:rsidRPr="00CC3A4B">
        <w:rPr>
          <w:rFonts w:ascii="Arial" w:hAnsi="Arial" w:cs="Arial"/>
          <w:spacing w:val="-12"/>
        </w:rPr>
        <w:t xml:space="preserve"> </w:t>
      </w:r>
      <w:r w:rsidRPr="00CC3A4B">
        <w:rPr>
          <w:rFonts w:ascii="Arial" w:hAnsi="Arial" w:cs="Arial"/>
        </w:rPr>
        <w:t>base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de</w:t>
      </w:r>
      <w:r w:rsidRPr="00CC3A4B">
        <w:rPr>
          <w:rFonts w:ascii="Arial" w:hAnsi="Arial" w:cs="Arial"/>
          <w:spacing w:val="-10"/>
        </w:rPr>
        <w:t xml:space="preserve"> </w:t>
      </w:r>
      <w:r w:rsidRPr="00CC3A4B">
        <w:rPr>
          <w:rFonts w:ascii="Arial" w:hAnsi="Arial" w:cs="Arial"/>
        </w:rPr>
        <w:t>licitació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en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base</w:t>
      </w:r>
      <w:r w:rsidRPr="00CC3A4B">
        <w:rPr>
          <w:rFonts w:ascii="Arial" w:hAnsi="Arial" w:cs="Arial"/>
          <w:spacing w:val="-10"/>
        </w:rPr>
        <w:t xml:space="preserve"> </w:t>
      </w:r>
      <w:r w:rsidRPr="00CC3A4B">
        <w:rPr>
          <w:rFonts w:ascii="Arial" w:hAnsi="Arial" w:cs="Arial"/>
        </w:rPr>
        <w:t>a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l’experiència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dels</w:t>
      </w:r>
      <w:r w:rsidRPr="00CC3A4B">
        <w:rPr>
          <w:rFonts w:ascii="Arial" w:hAnsi="Arial" w:cs="Arial"/>
          <w:spacing w:val="-11"/>
        </w:rPr>
        <w:t xml:space="preserve"> </w:t>
      </w:r>
      <w:r w:rsidRPr="00CC3A4B">
        <w:rPr>
          <w:rFonts w:ascii="Arial" w:hAnsi="Arial" w:cs="Arial"/>
        </w:rPr>
        <w:t>serveis</w:t>
      </w:r>
      <w:r w:rsidRPr="00CC3A4B">
        <w:rPr>
          <w:rFonts w:ascii="Arial" w:hAnsi="Arial" w:cs="Arial"/>
          <w:spacing w:val="-10"/>
        </w:rPr>
        <w:t xml:space="preserve"> </w:t>
      </w:r>
      <w:r w:rsidRPr="00CC3A4B">
        <w:rPr>
          <w:rFonts w:ascii="Arial" w:hAnsi="Arial" w:cs="Arial"/>
        </w:rPr>
        <w:t>tècnics</w:t>
      </w:r>
      <w:r w:rsidRPr="00CC3A4B">
        <w:rPr>
          <w:rFonts w:ascii="Arial" w:hAnsi="Arial" w:cs="Arial"/>
          <w:spacing w:val="-51"/>
        </w:rPr>
        <w:t xml:space="preserve"> </w:t>
      </w:r>
      <w:r w:rsidRPr="00CC3A4B">
        <w:rPr>
          <w:rFonts w:ascii="Arial" w:hAnsi="Arial" w:cs="Arial"/>
        </w:rPr>
        <w:t>municipals i als barems de</w:t>
      </w:r>
      <w:r>
        <w:t>ls col·legis professionals. Aquest barems inclouen els costos directes i</w:t>
      </w:r>
      <w:r>
        <w:rPr>
          <w:spacing w:val="1"/>
        </w:rPr>
        <w:t xml:space="preserve"> </w:t>
      </w:r>
      <w:r>
        <w:t>indirectes:</w:t>
      </w:r>
    </w:p>
    <w:p w:rsidR="00EC25D7" w:rsidRDefault="00EC25D7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1272"/>
        <w:gridCol w:w="1311"/>
        <w:gridCol w:w="1134"/>
        <w:gridCol w:w="1138"/>
        <w:gridCol w:w="547"/>
        <w:gridCol w:w="1025"/>
        <w:gridCol w:w="1539"/>
      </w:tblGrid>
      <w:tr w:rsidR="00EC25D7" w:rsidRPr="00CC3A4B" w:rsidTr="00CC3A4B">
        <w:trPr>
          <w:trHeight w:val="1674"/>
        </w:trPr>
        <w:tc>
          <w:tcPr>
            <w:tcW w:w="950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spacing w:line="244" w:lineRule="auto"/>
              <w:ind w:left="107" w:right="87" w:firstLine="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COSTOS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DIRECTES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SENSE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IVA</w:t>
            </w:r>
          </w:p>
        </w:tc>
        <w:tc>
          <w:tcPr>
            <w:tcW w:w="1311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spacing w:before="7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spacing w:line="242" w:lineRule="auto"/>
              <w:ind w:left="93" w:right="71" w:hanging="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IMPORT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DESPESES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GENERALS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(13%)</w:t>
            </w:r>
          </w:p>
        </w:tc>
        <w:tc>
          <w:tcPr>
            <w:tcW w:w="1134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spacing w:before="7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spacing w:line="242" w:lineRule="auto"/>
              <w:ind w:right="2" w:firstLine="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IMPORT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BENEFICI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INDUSTRIAL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(6%)</w:t>
            </w:r>
          </w:p>
        </w:tc>
        <w:tc>
          <w:tcPr>
            <w:tcW w:w="1138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spacing w:before="5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spacing w:line="244" w:lineRule="auto"/>
              <w:ind w:left="134" w:right="113" w:hanging="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IMPORT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TOTAL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SENSE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IVA</w:t>
            </w:r>
          </w:p>
        </w:tc>
        <w:tc>
          <w:tcPr>
            <w:tcW w:w="547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spacing w:before="7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spacing w:line="244" w:lineRule="auto"/>
              <w:ind w:left="112" w:right="75" w:firstLine="72"/>
              <w:jc w:val="left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%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IVA</w:t>
            </w:r>
          </w:p>
        </w:tc>
        <w:tc>
          <w:tcPr>
            <w:tcW w:w="1025" w:type="dxa"/>
          </w:tcPr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spacing w:before="7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spacing w:line="244" w:lineRule="auto"/>
              <w:ind w:left="350" w:right="91" w:hanging="228"/>
              <w:jc w:val="left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IMPORT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IVA</w:t>
            </w:r>
          </w:p>
        </w:tc>
        <w:tc>
          <w:tcPr>
            <w:tcW w:w="1539" w:type="dxa"/>
          </w:tcPr>
          <w:p w:rsidR="00EC25D7" w:rsidRPr="00CC3A4B" w:rsidRDefault="00CC3A4B">
            <w:pPr>
              <w:pStyle w:val="TableParagraph"/>
              <w:spacing w:before="165" w:line="244" w:lineRule="auto"/>
              <w:ind w:left="84" w:right="67" w:firstLine="5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TOTAL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PRESSUPOST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DE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LICITACIÓ</w:t>
            </w:r>
          </w:p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EC25D7">
            <w:pPr>
              <w:pStyle w:val="TableParagraph"/>
              <w:jc w:val="left"/>
              <w:rPr>
                <w:rFonts w:ascii="Arial" w:hAnsi="Arial" w:cs="Arial"/>
                <w:sz w:val="20"/>
              </w:rPr>
            </w:pPr>
          </w:p>
          <w:p w:rsidR="00EC25D7" w:rsidRPr="00CC3A4B" w:rsidRDefault="00CC3A4B">
            <w:pPr>
              <w:pStyle w:val="TableParagraph"/>
              <w:ind w:left="186" w:right="1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IVA INCLÒS</w:t>
            </w:r>
          </w:p>
        </w:tc>
      </w:tr>
      <w:tr w:rsidR="00EC25D7" w:rsidRPr="00CC3A4B" w:rsidTr="00CC3A4B">
        <w:trPr>
          <w:trHeight w:val="459"/>
        </w:trPr>
        <w:tc>
          <w:tcPr>
            <w:tcW w:w="950" w:type="dxa"/>
          </w:tcPr>
          <w:p w:rsidR="00EC25D7" w:rsidRPr="00CC3A4B" w:rsidRDefault="00CC3A4B">
            <w:pPr>
              <w:pStyle w:val="TableParagraph"/>
              <w:spacing w:before="115"/>
              <w:ind w:left="69"/>
              <w:jc w:val="left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Lot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272" w:type="dxa"/>
          </w:tcPr>
          <w:p w:rsidR="00EC25D7" w:rsidRPr="00CC3A4B" w:rsidRDefault="00CC3A4B">
            <w:pPr>
              <w:pStyle w:val="TableParagraph"/>
              <w:spacing w:before="115"/>
              <w:ind w:left="88" w:right="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5.785,72 €</w:t>
            </w:r>
          </w:p>
        </w:tc>
        <w:tc>
          <w:tcPr>
            <w:tcW w:w="1311" w:type="dxa"/>
          </w:tcPr>
          <w:p w:rsidR="00EC25D7" w:rsidRPr="00CC3A4B" w:rsidRDefault="00CC3A4B">
            <w:pPr>
              <w:pStyle w:val="TableParagraph"/>
              <w:spacing w:before="115"/>
              <w:ind w:left="90" w:right="7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752,14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4" w:type="dxa"/>
          </w:tcPr>
          <w:p w:rsidR="00EC25D7" w:rsidRPr="00CC3A4B" w:rsidRDefault="00CC3A4B">
            <w:pPr>
              <w:pStyle w:val="TableParagraph"/>
              <w:spacing w:before="115"/>
              <w:ind w:left="44" w:right="4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347,14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8" w:type="dxa"/>
          </w:tcPr>
          <w:p w:rsidR="00EC25D7" w:rsidRPr="00CC3A4B" w:rsidRDefault="00CC3A4B">
            <w:pPr>
              <w:pStyle w:val="TableParagraph"/>
              <w:spacing w:before="115"/>
              <w:ind w:left="115" w:right="97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6.885,00 €</w:t>
            </w:r>
          </w:p>
        </w:tc>
        <w:tc>
          <w:tcPr>
            <w:tcW w:w="547" w:type="dxa"/>
          </w:tcPr>
          <w:p w:rsidR="00EC25D7" w:rsidRPr="00CC3A4B" w:rsidRDefault="00CC3A4B">
            <w:pPr>
              <w:pStyle w:val="TableParagraph"/>
              <w:spacing w:before="115"/>
              <w:ind w:left="49" w:right="3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21%</w:t>
            </w:r>
          </w:p>
        </w:tc>
        <w:tc>
          <w:tcPr>
            <w:tcW w:w="1025" w:type="dxa"/>
          </w:tcPr>
          <w:p w:rsidR="00EC25D7" w:rsidRPr="00CC3A4B" w:rsidRDefault="00CC3A4B">
            <w:pPr>
              <w:pStyle w:val="TableParagraph"/>
              <w:ind w:left="101" w:right="85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1.445,85</w:t>
            </w:r>
          </w:p>
          <w:p w:rsidR="00EC25D7" w:rsidRPr="00CC3A4B" w:rsidRDefault="00CC3A4B">
            <w:pPr>
              <w:pStyle w:val="TableParagraph"/>
              <w:spacing w:before="4" w:line="210" w:lineRule="exact"/>
              <w:ind w:left="18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539" w:type="dxa"/>
          </w:tcPr>
          <w:p w:rsidR="00EC25D7" w:rsidRPr="00CC3A4B" w:rsidRDefault="00CC3A4B">
            <w:pPr>
              <w:pStyle w:val="TableParagraph"/>
              <w:spacing w:before="115"/>
              <w:ind w:left="186" w:right="1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8.330,85 €</w:t>
            </w:r>
          </w:p>
        </w:tc>
      </w:tr>
      <w:tr w:rsidR="00EC25D7" w:rsidRPr="00CC3A4B" w:rsidTr="00CC3A4B">
        <w:trPr>
          <w:trHeight w:val="459"/>
        </w:trPr>
        <w:tc>
          <w:tcPr>
            <w:tcW w:w="950" w:type="dxa"/>
          </w:tcPr>
          <w:p w:rsidR="00EC25D7" w:rsidRPr="00CC3A4B" w:rsidRDefault="00CC3A4B">
            <w:pPr>
              <w:pStyle w:val="TableParagraph"/>
              <w:spacing w:before="115"/>
              <w:ind w:left="69"/>
              <w:jc w:val="left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Lot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72" w:type="dxa"/>
          </w:tcPr>
          <w:p w:rsidR="00EC25D7" w:rsidRPr="00CC3A4B" w:rsidRDefault="00CC3A4B">
            <w:pPr>
              <w:pStyle w:val="TableParagraph"/>
              <w:spacing w:before="115"/>
              <w:ind w:left="88" w:right="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5.785,72 €</w:t>
            </w:r>
          </w:p>
        </w:tc>
        <w:tc>
          <w:tcPr>
            <w:tcW w:w="1311" w:type="dxa"/>
          </w:tcPr>
          <w:p w:rsidR="00EC25D7" w:rsidRPr="00CC3A4B" w:rsidRDefault="00CC3A4B">
            <w:pPr>
              <w:pStyle w:val="TableParagraph"/>
              <w:spacing w:before="115"/>
              <w:ind w:left="90" w:right="7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752,14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4" w:type="dxa"/>
          </w:tcPr>
          <w:p w:rsidR="00EC25D7" w:rsidRPr="00CC3A4B" w:rsidRDefault="00CC3A4B">
            <w:pPr>
              <w:pStyle w:val="TableParagraph"/>
              <w:spacing w:before="115"/>
              <w:ind w:left="44" w:right="4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347,14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8" w:type="dxa"/>
          </w:tcPr>
          <w:p w:rsidR="00EC25D7" w:rsidRPr="00CC3A4B" w:rsidRDefault="00CC3A4B">
            <w:pPr>
              <w:pStyle w:val="TableParagraph"/>
              <w:spacing w:before="115"/>
              <w:ind w:left="115" w:right="97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6.885,00 €</w:t>
            </w:r>
          </w:p>
        </w:tc>
        <w:tc>
          <w:tcPr>
            <w:tcW w:w="547" w:type="dxa"/>
          </w:tcPr>
          <w:p w:rsidR="00EC25D7" w:rsidRPr="00CC3A4B" w:rsidRDefault="00CC3A4B">
            <w:pPr>
              <w:pStyle w:val="TableParagraph"/>
              <w:spacing w:before="115"/>
              <w:ind w:left="49" w:right="3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21%</w:t>
            </w:r>
          </w:p>
        </w:tc>
        <w:tc>
          <w:tcPr>
            <w:tcW w:w="1025" w:type="dxa"/>
          </w:tcPr>
          <w:p w:rsidR="00EC25D7" w:rsidRPr="00CC3A4B" w:rsidRDefault="00CC3A4B">
            <w:pPr>
              <w:pStyle w:val="TableParagraph"/>
              <w:ind w:left="101" w:right="85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1.445,85</w:t>
            </w:r>
          </w:p>
          <w:p w:rsidR="00EC25D7" w:rsidRPr="00CC3A4B" w:rsidRDefault="00CC3A4B">
            <w:pPr>
              <w:pStyle w:val="TableParagraph"/>
              <w:spacing w:before="4" w:line="210" w:lineRule="exact"/>
              <w:ind w:left="18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539" w:type="dxa"/>
          </w:tcPr>
          <w:p w:rsidR="00EC25D7" w:rsidRPr="00CC3A4B" w:rsidRDefault="00CC3A4B">
            <w:pPr>
              <w:pStyle w:val="TableParagraph"/>
              <w:spacing w:before="115"/>
              <w:ind w:left="186" w:right="1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8.330,85 €</w:t>
            </w:r>
          </w:p>
        </w:tc>
      </w:tr>
      <w:tr w:rsidR="00EC25D7" w:rsidRPr="00CC3A4B" w:rsidTr="00CC3A4B">
        <w:trPr>
          <w:trHeight w:val="459"/>
        </w:trPr>
        <w:tc>
          <w:tcPr>
            <w:tcW w:w="950" w:type="dxa"/>
          </w:tcPr>
          <w:p w:rsidR="00EC25D7" w:rsidRPr="00CC3A4B" w:rsidRDefault="00CC3A4B">
            <w:pPr>
              <w:pStyle w:val="TableParagraph"/>
              <w:spacing w:before="115"/>
              <w:ind w:left="69"/>
              <w:jc w:val="left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Lot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272" w:type="dxa"/>
          </w:tcPr>
          <w:p w:rsidR="00EC25D7" w:rsidRPr="00CC3A4B" w:rsidRDefault="00CC3A4B">
            <w:pPr>
              <w:pStyle w:val="TableParagraph"/>
              <w:spacing w:before="115"/>
              <w:ind w:left="88" w:right="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5.785,72 €</w:t>
            </w:r>
          </w:p>
        </w:tc>
        <w:tc>
          <w:tcPr>
            <w:tcW w:w="1311" w:type="dxa"/>
          </w:tcPr>
          <w:p w:rsidR="00EC25D7" w:rsidRPr="00CC3A4B" w:rsidRDefault="00CC3A4B">
            <w:pPr>
              <w:pStyle w:val="TableParagraph"/>
              <w:spacing w:before="115"/>
              <w:ind w:left="90" w:right="7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752,14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4" w:type="dxa"/>
          </w:tcPr>
          <w:p w:rsidR="00EC25D7" w:rsidRPr="00CC3A4B" w:rsidRDefault="00CC3A4B">
            <w:pPr>
              <w:pStyle w:val="TableParagraph"/>
              <w:spacing w:before="115"/>
              <w:ind w:left="44" w:right="4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347,14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8" w:type="dxa"/>
          </w:tcPr>
          <w:p w:rsidR="00EC25D7" w:rsidRPr="00CC3A4B" w:rsidRDefault="00CC3A4B">
            <w:pPr>
              <w:pStyle w:val="TableParagraph"/>
              <w:spacing w:before="115"/>
              <w:ind w:left="115" w:right="97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6.885,00 €</w:t>
            </w:r>
          </w:p>
        </w:tc>
        <w:tc>
          <w:tcPr>
            <w:tcW w:w="547" w:type="dxa"/>
          </w:tcPr>
          <w:p w:rsidR="00EC25D7" w:rsidRPr="00CC3A4B" w:rsidRDefault="00CC3A4B">
            <w:pPr>
              <w:pStyle w:val="TableParagraph"/>
              <w:spacing w:before="115"/>
              <w:ind w:left="49" w:right="3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21%</w:t>
            </w:r>
          </w:p>
        </w:tc>
        <w:tc>
          <w:tcPr>
            <w:tcW w:w="1025" w:type="dxa"/>
          </w:tcPr>
          <w:p w:rsidR="00EC25D7" w:rsidRPr="00CC3A4B" w:rsidRDefault="00CC3A4B">
            <w:pPr>
              <w:pStyle w:val="TableParagraph"/>
              <w:ind w:left="101" w:right="85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1.445,85</w:t>
            </w:r>
          </w:p>
          <w:p w:rsidR="00EC25D7" w:rsidRPr="00CC3A4B" w:rsidRDefault="00CC3A4B">
            <w:pPr>
              <w:pStyle w:val="TableParagraph"/>
              <w:spacing w:before="4" w:line="210" w:lineRule="exact"/>
              <w:ind w:left="18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539" w:type="dxa"/>
          </w:tcPr>
          <w:p w:rsidR="00EC25D7" w:rsidRPr="00CC3A4B" w:rsidRDefault="00CC3A4B">
            <w:pPr>
              <w:pStyle w:val="TableParagraph"/>
              <w:spacing w:before="115"/>
              <w:ind w:left="186" w:right="1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8.330,85 €</w:t>
            </w:r>
          </w:p>
        </w:tc>
      </w:tr>
      <w:tr w:rsidR="00EC25D7" w:rsidRPr="00CC3A4B" w:rsidTr="00CC3A4B">
        <w:trPr>
          <w:trHeight w:val="459"/>
        </w:trPr>
        <w:tc>
          <w:tcPr>
            <w:tcW w:w="950" w:type="dxa"/>
          </w:tcPr>
          <w:p w:rsidR="00EC25D7" w:rsidRPr="00CC3A4B" w:rsidRDefault="00CC3A4B">
            <w:pPr>
              <w:pStyle w:val="TableParagraph"/>
              <w:spacing w:before="109"/>
              <w:ind w:left="69"/>
              <w:jc w:val="left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272" w:type="dxa"/>
          </w:tcPr>
          <w:p w:rsidR="00EC25D7" w:rsidRPr="00CC3A4B" w:rsidRDefault="00CC3A4B">
            <w:pPr>
              <w:pStyle w:val="TableParagraph"/>
              <w:spacing w:before="109"/>
              <w:ind w:left="88" w:right="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17.357,16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311" w:type="dxa"/>
          </w:tcPr>
          <w:p w:rsidR="00EC25D7" w:rsidRPr="00CC3A4B" w:rsidRDefault="00CC3A4B">
            <w:pPr>
              <w:pStyle w:val="TableParagraph"/>
              <w:spacing w:before="109"/>
              <w:ind w:left="90" w:right="72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2.256,42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4" w:type="dxa"/>
          </w:tcPr>
          <w:p w:rsidR="00EC25D7" w:rsidRPr="00CC3A4B" w:rsidRDefault="00CC3A4B">
            <w:pPr>
              <w:pStyle w:val="TableParagraph"/>
              <w:spacing w:before="109"/>
              <w:ind w:left="44" w:right="44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1.041,42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138" w:type="dxa"/>
          </w:tcPr>
          <w:p w:rsidR="00EC25D7" w:rsidRPr="00CC3A4B" w:rsidRDefault="00CC3A4B">
            <w:pPr>
              <w:pStyle w:val="TableParagraph"/>
              <w:spacing w:before="109"/>
              <w:ind w:left="115" w:right="97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20.655,00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547" w:type="dxa"/>
          </w:tcPr>
          <w:p w:rsidR="00EC25D7" w:rsidRPr="00CC3A4B" w:rsidRDefault="00CC3A4B">
            <w:pPr>
              <w:pStyle w:val="TableParagraph"/>
              <w:spacing w:before="109"/>
              <w:ind w:left="50" w:right="33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21%</w:t>
            </w:r>
          </w:p>
        </w:tc>
        <w:tc>
          <w:tcPr>
            <w:tcW w:w="1025" w:type="dxa"/>
          </w:tcPr>
          <w:p w:rsidR="00EC25D7" w:rsidRPr="00CC3A4B" w:rsidRDefault="00CC3A4B">
            <w:pPr>
              <w:pStyle w:val="TableParagraph"/>
              <w:spacing w:line="224" w:lineRule="exact"/>
              <w:ind w:left="101" w:right="85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4.337,55</w:t>
            </w:r>
          </w:p>
          <w:p w:rsidR="00EC25D7" w:rsidRPr="00CC3A4B" w:rsidRDefault="00CC3A4B">
            <w:pPr>
              <w:pStyle w:val="TableParagraph"/>
              <w:spacing w:line="215" w:lineRule="exact"/>
              <w:ind w:left="18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  <w:tc>
          <w:tcPr>
            <w:tcW w:w="1539" w:type="dxa"/>
          </w:tcPr>
          <w:p w:rsidR="00EC25D7" w:rsidRPr="00CC3A4B" w:rsidRDefault="00CC3A4B">
            <w:pPr>
              <w:pStyle w:val="TableParagraph"/>
              <w:spacing w:before="109"/>
              <w:ind w:left="186" w:right="171"/>
              <w:rPr>
                <w:rFonts w:ascii="Arial" w:hAnsi="Arial" w:cs="Arial"/>
                <w:sz w:val="20"/>
              </w:rPr>
            </w:pPr>
            <w:r w:rsidRPr="00CC3A4B">
              <w:rPr>
                <w:rFonts w:ascii="Arial" w:hAnsi="Arial" w:cs="Arial"/>
                <w:sz w:val="20"/>
              </w:rPr>
              <w:t>24.992,55</w:t>
            </w:r>
            <w:r w:rsidRPr="00CC3A4B">
              <w:rPr>
                <w:rFonts w:ascii="Arial" w:hAnsi="Arial" w:cs="Arial"/>
                <w:sz w:val="20"/>
              </w:rPr>
              <w:t xml:space="preserve"> </w:t>
            </w:r>
            <w:r w:rsidRPr="00CC3A4B">
              <w:rPr>
                <w:rFonts w:ascii="Arial" w:hAnsi="Arial" w:cs="Arial"/>
                <w:sz w:val="20"/>
              </w:rPr>
              <w:t>€</w:t>
            </w:r>
          </w:p>
        </w:tc>
      </w:tr>
    </w:tbl>
    <w:p w:rsidR="00EC25D7" w:rsidRPr="00CC3A4B" w:rsidRDefault="00EC25D7">
      <w:pPr>
        <w:pStyle w:val="Textoindependiente"/>
        <w:rPr>
          <w:rFonts w:ascii="Arial" w:hAnsi="Arial" w:cs="Arial"/>
          <w:szCs w:val="22"/>
        </w:rPr>
      </w:pPr>
    </w:p>
    <w:p w:rsidR="00EC25D7" w:rsidRPr="00CC3A4B" w:rsidRDefault="00EC25D7">
      <w:pPr>
        <w:pStyle w:val="Textoindependiente"/>
        <w:rPr>
          <w:rFonts w:ascii="Arial" w:hAnsi="Arial" w:cs="Arial"/>
          <w:sz w:val="22"/>
        </w:rPr>
      </w:pPr>
    </w:p>
    <w:p w:rsidR="00EC25D7" w:rsidRPr="00CC3A4B" w:rsidRDefault="00EC25D7">
      <w:pPr>
        <w:pStyle w:val="Textoindependiente"/>
        <w:rPr>
          <w:rFonts w:ascii="Arial" w:hAnsi="Arial" w:cs="Arial"/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2"/>
        </w:rPr>
      </w:pPr>
    </w:p>
    <w:p w:rsidR="00EC25D7" w:rsidRDefault="00EC25D7">
      <w:pPr>
        <w:pStyle w:val="Textoindependiente"/>
        <w:rPr>
          <w:sz w:val="21"/>
        </w:rPr>
      </w:pPr>
    </w:p>
    <w:p w:rsidR="00EC25D7" w:rsidRDefault="00CC3A4B">
      <w:pPr>
        <w:ind w:left="115"/>
        <w:jc w:val="both"/>
        <w:rPr>
          <w:rFonts w:ascii="Verdana" w:hAnsi="Verdana"/>
          <w:sz w:val="14"/>
        </w:rPr>
      </w:pPr>
      <w:r>
        <w:rPr>
          <w:rFonts w:ascii="Verdana" w:hAnsi="Verdana"/>
          <w:b/>
          <w:sz w:val="14"/>
        </w:rPr>
        <w:t>Ajuntament</w:t>
      </w:r>
      <w:r>
        <w:rPr>
          <w:rFonts w:ascii="Verdana" w:hAnsi="Verdana"/>
          <w:b/>
          <w:spacing w:val="-3"/>
          <w:sz w:val="14"/>
        </w:rPr>
        <w:t xml:space="preserve"> </w:t>
      </w:r>
      <w:r>
        <w:rPr>
          <w:rFonts w:ascii="Verdana" w:hAnsi="Verdana"/>
          <w:b/>
          <w:sz w:val="14"/>
        </w:rPr>
        <w:t>de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b/>
          <w:sz w:val="14"/>
        </w:rPr>
        <w:t>Sabadell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Plaça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de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Sant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Roc,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1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08201,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Sabadell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Tel.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93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745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31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00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hyperlink r:id="rId5">
        <w:r>
          <w:rPr>
            <w:rFonts w:ascii="Verdana" w:hAnsi="Verdana"/>
            <w:sz w:val="14"/>
          </w:rPr>
          <w:t>www.sabadell.cat</w:t>
        </w:r>
        <w:r>
          <w:rPr>
            <w:rFonts w:ascii="Verdana" w:hAnsi="Verdana"/>
            <w:spacing w:val="-3"/>
            <w:sz w:val="14"/>
          </w:rPr>
          <w:t xml:space="preserve"> </w:t>
        </w:r>
      </w:hyperlink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1"/>
          <w:sz w:val="14"/>
        </w:rPr>
        <w:t xml:space="preserve"> </w:t>
      </w:r>
      <w:r>
        <w:rPr>
          <w:rFonts w:ascii="Verdana" w:hAnsi="Verdana"/>
          <w:sz w:val="14"/>
        </w:rPr>
        <w:t>NIF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P0818600I</w:t>
      </w:r>
    </w:p>
    <w:p w:rsidR="00EC25D7" w:rsidRDefault="00CC3A4B">
      <w:pPr>
        <w:spacing w:before="102"/>
        <w:ind w:right="201"/>
        <w:jc w:val="right"/>
        <w:rPr>
          <w:rFonts w:ascii="Verdana"/>
          <w:sz w:val="16"/>
        </w:rPr>
      </w:pPr>
      <w:r>
        <w:rPr>
          <w:rFonts w:ascii="Verdana"/>
          <w:sz w:val="16"/>
        </w:rPr>
        <w:t>36/53</w:t>
      </w:r>
    </w:p>
    <w:sectPr w:rsidR="00EC25D7">
      <w:type w:val="continuous"/>
      <w:pgSz w:w="11900" w:h="16840"/>
      <w:pgMar w:top="520" w:right="132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C25D7"/>
    <w:rsid w:val="00CC3A4B"/>
    <w:rsid w:val="00EC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D407D3-6D3C-48D8-83A7-E6988C8E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101"/>
      <w:ind w:left="15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badell.ca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259</Words>
  <Characters>1477</Characters>
  <Application>Microsoft Office Word</Application>
  <DocSecurity>0</DocSecurity>
  <Lines>12</Lines>
  <Paragraphs>3</Paragraphs>
  <ScaleCrop>false</ScaleCrop>
  <Company>Ajuntament de Sabadell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2</dc:title>
  <dc:creator>nserrano</dc:creator>
  <cp:lastModifiedBy>Llevot F Oriol  OBRES</cp:lastModifiedBy>
  <cp:revision>2</cp:revision>
  <dcterms:created xsi:type="dcterms:W3CDTF">2023-04-24T12:30:00Z</dcterms:created>
  <dcterms:modified xsi:type="dcterms:W3CDTF">2023-05-02T12:32:00Z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2023-04-24T00:00:00Z</vt:filetime>
  </property>
</Properties>
</file>