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  <w:lang w:val="x-none"/>
        </w:rPr>
      </w:pPr>
      <w:r w:rsidRPr="001B43C1">
        <w:rPr>
          <w:rFonts w:ascii="Arial" w:hAnsi="Arial" w:cs="Arial"/>
          <w:b/>
          <w:bCs/>
          <w:spacing w:val="-2"/>
          <w:u w:val="single"/>
          <w:lang w:val="x-none"/>
        </w:rPr>
        <w:t>ANNEX</w:t>
      </w:r>
      <w:r w:rsidRPr="001B43C1">
        <w:rPr>
          <w:rFonts w:ascii="Arial" w:hAnsi="Arial" w:cs="Arial"/>
          <w:b/>
          <w:bCs/>
          <w:spacing w:val="-2"/>
          <w:sz w:val="22"/>
          <w:u w:val="single"/>
          <w:lang w:val="x-none"/>
        </w:rPr>
        <w:t xml:space="preserve">  2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  <w:lang w:val="x-none"/>
        </w:rPr>
      </w:pP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  <w:r w:rsidRPr="001B43C1">
        <w:rPr>
          <w:rFonts w:ascii="Arial" w:hAnsi="Arial" w:cs="Arial"/>
          <w:b/>
          <w:bCs/>
          <w:caps/>
          <w:spacing w:val="-2"/>
          <w:lang w:val="x-none"/>
        </w:rPr>
        <w:t>Model DE DESGLOSSAMENT DEL PRESSUPOST BASE DE LICITACIÓ</w:t>
      </w:r>
      <w:r w:rsidRPr="001B43C1">
        <w:rPr>
          <w:rFonts w:ascii="Arial" w:hAnsi="Arial" w:cs="Arial"/>
          <w:b/>
          <w:bCs/>
          <w:caps/>
          <w:spacing w:val="-2"/>
          <w:lang w:val="es-ES"/>
        </w:rPr>
        <w:t xml:space="preserve"> </w:t>
      </w:r>
    </w:p>
    <w:p w:rsidR="00DE6612" w:rsidRPr="001B43C1" w:rsidRDefault="00DE6612" w:rsidP="00DE6612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  <w:lang w:val="es-ES"/>
        </w:rPr>
      </w:pPr>
    </w:p>
    <w:p w:rsidR="00DE6612" w:rsidRPr="001B43C1" w:rsidRDefault="00DE6612" w:rsidP="00DE6612">
      <w:pPr>
        <w:spacing w:after="160" w:line="259" w:lineRule="auto"/>
        <w:rPr>
          <w:rFonts w:ascii="Arial" w:eastAsia="Calibri" w:hAnsi="Arial" w:cs="Arial"/>
          <w:lang w:eastAsia="en-US"/>
        </w:rPr>
      </w:pPr>
      <w:r w:rsidRPr="001B43C1">
        <w:rPr>
          <w:rFonts w:ascii="Arial" w:eastAsia="Calibri" w:hAnsi="Arial" w:cs="Arial"/>
          <w:szCs w:val="22"/>
          <w:lang w:eastAsia="en-US"/>
        </w:rPr>
        <w:t xml:space="preserve">En relació al pressupost base de licitació del contracte de serveis anomenat </w:t>
      </w:r>
      <w:r w:rsidRPr="001B43C1">
        <w:rPr>
          <w:rFonts w:ascii="Arial" w:eastAsia="Calibri" w:hAnsi="Arial" w:cs="Arial"/>
          <w:b/>
          <w:szCs w:val="22"/>
          <w:lang w:eastAsia="en-US"/>
        </w:rPr>
        <w:t>“</w:t>
      </w:r>
      <w:r w:rsidRPr="001B43C1">
        <w:rPr>
          <w:rFonts w:ascii="Arial" w:hAnsi="Arial" w:cs="Arial"/>
          <w:b/>
          <w:bCs/>
        </w:rPr>
        <w:t>Servei de tallers competencials intensius a l’estiu per alumnat de primària i secundària provinent de centres del pla educatiu d’entorn. (anglès, artístic, descoberta de la natura, transicions educatives)</w:t>
      </w:r>
      <w:r w:rsidRPr="001B43C1">
        <w:rPr>
          <w:rFonts w:ascii="Arial" w:eastAsia="Calibri" w:hAnsi="Arial" w:cs="Arial"/>
          <w:b/>
          <w:szCs w:val="22"/>
          <w:lang w:eastAsia="en-US"/>
        </w:rPr>
        <w:t>”</w:t>
      </w:r>
      <w:r w:rsidRPr="001B43C1">
        <w:rPr>
          <w:rFonts w:ascii="Arial" w:eastAsia="Calibri" w:hAnsi="Arial" w:cs="Arial"/>
          <w:szCs w:val="22"/>
          <w:lang w:eastAsia="en-US"/>
        </w:rPr>
        <w:t xml:space="preserve"> es fa constar que el desglossament és el que a continuació es detalla, en compliment de la previsió establerta a l’article 100 de la Llei </w:t>
      </w:r>
      <w:r w:rsidRPr="001B43C1">
        <w:rPr>
          <w:rFonts w:ascii="Arial" w:eastAsia="Calibri" w:hAnsi="Arial" w:cs="Arial"/>
          <w:lang w:eastAsia="en-US"/>
        </w:rPr>
        <w:t xml:space="preserve">9/2017, de 8 de novembre, de contractes del sector públic, per la qual es transposen a l’ordenament jurídic espanyol les Directives del Parlament Europeu i dels Consell 2014/23/UE i 2014/24/UE, de 26 de gener:  </w:t>
      </w:r>
    </w:p>
    <w:p w:rsidR="00DE6612" w:rsidRPr="001B43C1" w:rsidRDefault="00DE6612" w:rsidP="00DE6612">
      <w:pPr>
        <w:numPr>
          <w:ilvl w:val="0"/>
          <w:numId w:val="34"/>
        </w:numPr>
        <w:spacing w:after="160" w:line="259" w:lineRule="auto"/>
        <w:rPr>
          <w:rFonts w:ascii="Arial" w:hAnsi="Arial" w:cs="Arial"/>
          <w:b/>
        </w:rPr>
      </w:pPr>
      <w:r w:rsidRPr="001B43C1">
        <w:rPr>
          <w:rFonts w:ascii="Arial" w:hAnsi="Arial" w:cs="Arial"/>
          <w:b/>
        </w:rPr>
        <w:t>Determinació del preu del lot 1. Tallers intensius d’anglès per a alumnat de secundària</w:t>
      </w: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tbl>
      <w:tblPr>
        <w:tblW w:w="6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0"/>
        <w:gridCol w:w="1600"/>
      </w:tblGrid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DESPESES DIRECTES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Cost salarial del professorat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9.914,73€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Plus de transport (60,00€ x profesor/a)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420,00€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Cost salarial de la coordinació dels tallers (40 hores)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619,20€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 xml:space="preserve">Despesa seguretat social 35%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3.833,88€</w:t>
            </w:r>
          </w:p>
        </w:tc>
      </w:tr>
      <w:tr w:rsidR="00DE6612" w:rsidRPr="001B43C1" w:rsidTr="0091603E">
        <w:trPr>
          <w:trHeight w:val="51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Provisions per acomiadaments, baixes i assegurances (30€ x professional)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240,00€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Formació, Salut i Seguretat en el treball (49€ x prof.)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392,00€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Material didàctic (200,00€ x taller)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1.400,00€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Total despeses directes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16.819,81€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6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DESPESES INDIRECTES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51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Costos indirectes generals i d’estructura (13% sobre CD)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2.186,57€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Benefici industrial (6% sobre CD)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1.009,19€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Total despeses indirectes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3.195,76€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6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</w:rPr>
            </w:pPr>
            <w:r w:rsidRPr="001B43C1">
              <w:rPr>
                <w:rFonts w:ascii="Arial" w:hAnsi="Arial" w:cs="Arial"/>
                <w:b/>
                <w:bCs/>
              </w:rPr>
              <w:t>TOTAL (Suma de despeses directes i indirectes)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</w:rPr>
            </w:pPr>
            <w:r w:rsidRPr="001B43C1">
              <w:rPr>
                <w:rFonts w:ascii="Arial" w:hAnsi="Arial" w:cs="Arial"/>
                <w:b/>
                <w:bCs/>
              </w:rPr>
              <w:t>20.015,57€</w:t>
            </w:r>
          </w:p>
        </w:tc>
      </w:tr>
    </w:tbl>
    <w:p w:rsidR="00DE6612" w:rsidRPr="001B43C1" w:rsidRDefault="00DE6612" w:rsidP="00DE6612">
      <w:pPr>
        <w:rPr>
          <w:rFonts w:ascii="Arial" w:hAnsi="Arial" w:cs="Arial"/>
        </w:rPr>
      </w:pPr>
    </w:p>
    <w:p w:rsidR="00DE6612" w:rsidRPr="001B43C1" w:rsidRDefault="00DE6612" w:rsidP="00DE6612">
      <w:pPr>
        <w:spacing w:after="240"/>
        <w:rPr>
          <w:rFonts w:ascii="Arial" w:hAnsi="Arial" w:cs="Arial"/>
        </w:rPr>
      </w:pPr>
      <w:r w:rsidRPr="001B43C1">
        <w:rPr>
          <w:rFonts w:ascii="Arial" w:hAnsi="Arial" w:cs="Arial"/>
        </w:rPr>
        <w:t xml:space="preserve">El pressupost s’ha establert a partir del càlcul del cost del personal necessari per donar cobertura al servei i del material necessari pel seu desenvolupament. </w:t>
      </w:r>
    </w:p>
    <w:p w:rsidR="00DE6612" w:rsidRPr="001B43C1" w:rsidRDefault="00DE6612" w:rsidP="00DE6612">
      <w:pPr>
        <w:spacing w:after="240"/>
        <w:rPr>
          <w:rFonts w:ascii="Arial" w:hAnsi="Arial" w:cs="Arial"/>
        </w:rPr>
      </w:pPr>
      <w:r w:rsidRPr="001B43C1">
        <w:rPr>
          <w:rFonts w:ascii="Arial" w:hAnsi="Arial" w:cs="Arial"/>
        </w:rPr>
        <w:lastRenderedPageBreak/>
        <w:t>Pel lloc de treball professor/a s’ha pres com a referència la categoria Professor de l’esmentat conveni. Pel lloc de treball de Coordinador/a s’ha pres la categoria Cap d’Estudis. Cal tenir en compte que s’han actualitzat les retribucions de les taules de l’any 2022 en un 2% per adaptar-les en la mesura del possible al 2023.</w:t>
      </w: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>D’acord amb l’exposat en el punt de dotació per al servei dels plecs tècnics, cada professor/a tindrà una dedicació total de 93 hores, el que significa que el total dels set professionals dedicarà 651 hores i que la coordinació dedicarà 40 hores.</w:t>
      </w:r>
    </w:p>
    <w:p w:rsidR="00DE6612" w:rsidRPr="001B43C1" w:rsidRDefault="00DE6612" w:rsidP="00DE6612">
      <w:pPr>
        <w:rPr>
          <w:rFonts w:ascii="Arial" w:hAnsi="Arial" w:cs="Arial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>El càlcul del cost del professorat s’ha calculat sobre un sou anual de 19.404,00€ que dividit per les 1.300 hores hores anuals de dedicació que indica el propi conveni té com a resultat un preu/hora de 14,93€ als que hem aplicat una revalorització del 2% amb un resultat de 15,23€/hora.</w:t>
      </w:r>
    </w:p>
    <w:p w:rsidR="00DE6612" w:rsidRPr="001B43C1" w:rsidRDefault="00DE6612" w:rsidP="00DE6612">
      <w:pPr>
        <w:rPr>
          <w:rFonts w:ascii="Arial" w:hAnsi="Arial" w:cs="Arial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>Pel que fa el lloc de coordinador/a s’ha sumat el plus de 3.360,00€/anuals del Cap d’Estudis al sou de professor i s’ha dividit per les 1.500 hores de dedicació anual indicades pel propi conveni aplicant també la revalorització del 2% amb un resultat de 15,48 €/hora.</w:t>
      </w:r>
    </w:p>
    <w:p w:rsidR="00DE6612" w:rsidRPr="001B43C1" w:rsidRDefault="00DE6612" w:rsidP="00DE6612">
      <w:pPr>
        <w:rPr>
          <w:rFonts w:ascii="Arial" w:hAnsi="Arial" w:cs="Arial"/>
        </w:rPr>
      </w:pP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numPr>
          <w:ilvl w:val="0"/>
          <w:numId w:val="34"/>
        </w:numPr>
        <w:spacing w:after="240"/>
        <w:contextualSpacing/>
        <w:rPr>
          <w:rFonts w:ascii="Arial" w:hAnsi="Arial" w:cs="Arial"/>
        </w:rPr>
      </w:pPr>
      <w:r w:rsidRPr="001B43C1">
        <w:rPr>
          <w:rFonts w:ascii="Arial" w:hAnsi="Arial" w:cs="Arial"/>
          <w:b/>
        </w:rPr>
        <w:t>Determinació del preu del lot 2: Tallers de reforç competencials per a alumnat d’educació primària (Artístic, Descoberta de la natura i Transicions educatives)</w:t>
      </w: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tbl>
      <w:tblPr>
        <w:tblW w:w="6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0"/>
        <w:gridCol w:w="1600"/>
      </w:tblGrid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DESPESES DIRECTES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Cost salarial del monitoratge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12.068,10€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Cost salarial de la coordinació dels tallers (65 hores)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844,35€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 xml:space="preserve">Despesa seguretat social 35%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4.519,36€</w:t>
            </w:r>
          </w:p>
        </w:tc>
      </w:tr>
      <w:tr w:rsidR="00DE6612" w:rsidRPr="001B43C1" w:rsidTr="0091603E">
        <w:trPr>
          <w:trHeight w:val="51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Provisions per acomiadaments, baixes i assegurances (30€ x professional)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570,00€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Formació, Salut i Seguretat en el treball (49€ x prof.)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931,00€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Material didàctic (200,00€ x taller)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3.600,00€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Total despeses directes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22.532,81€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6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DESPESES INDIRECTES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51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Costos indirectes generals i d’estructura (13% sobre CD)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2.929,26€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Benefici industrial (6% sobre CD)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color w:val="000000"/>
              </w:rPr>
            </w:pPr>
            <w:r w:rsidRPr="001B43C1">
              <w:rPr>
                <w:rFonts w:ascii="Arial" w:hAnsi="Arial" w:cs="Arial"/>
                <w:color w:val="000000"/>
              </w:rPr>
              <w:t>1.351,97€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Total despeses indirectes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1B43C1">
              <w:rPr>
                <w:rFonts w:ascii="Arial" w:hAnsi="Arial" w:cs="Arial"/>
                <w:b/>
                <w:bCs/>
                <w:color w:val="000000"/>
              </w:rPr>
              <w:t>4.281,23€</w:t>
            </w: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6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E6612" w:rsidRPr="001B43C1" w:rsidTr="0091603E">
        <w:trPr>
          <w:trHeight w:val="300"/>
          <w:jc w:val="center"/>
        </w:trPr>
        <w:tc>
          <w:tcPr>
            <w:tcW w:w="4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</w:rPr>
            </w:pPr>
            <w:r w:rsidRPr="001B43C1">
              <w:rPr>
                <w:rFonts w:ascii="Arial" w:hAnsi="Arial" w:cs="Arial"/>
                <w:b/>
                <w:bCs/>
              </w:rPr>
              <w:t>TOTAL (Suma de despeses directes i indirectes)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DE6612" w:rsidRPr="001B43C1" w:rsidRDefault="00DE6612" w:rsidP="0091603E">
            <w:pPr>
              <w:rPr>
                <w:rFonts w:ascii="Arial" w:hAnsi="Arial" w:cs="Arial"/>
                <w:b/>
                <w:bCs/>
              </w:rPr>
            </w:pPr>
            <w:r w:rsidRPr="001B43C1">
              <w:rPr>
                <w:rFonts w:ascii="Arial" w:hAnsi="Arial" w:cs="Arial"/>
                <w:b/>
                <w:bCs/>
              </w:rPr>
              <w:t>26.814,04€</w:t>
            </w:r>
          </w:p>
        </w:tc>
      </w:tr>
    </w:tbl>
    <w:p w:rsidR="00DE6612" w:rsidRPr="001B43C1" w:rsidRDefault="00DE6612" w:rsidP="00DE6612">
      <w:pPr>
        <w:rPr>
          <w:rFonts w:ascii="Arial" w:hAnsi="Arial" w:cs="Arial"/>
          <w:color w:val="76923C" w:themeColor="accent3" w:themeShade="BF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>Dins dels costos directes, el càlcul de l’esforç que s’estima necessari per a la prestació de l’objecte dels contractes s’ha obtingut d’acord a la Resolució EMT/823/2022, de 21 de març, per la qual es disposa la inscripció i la publicació de l’Acord parcial de la Comissió negociadora del Conveni col·lectiu del sector del lleure educatiu i sociocultural de Catalunya, relatiu a les condicions econòmiques i a la modificació de la descripció de llocs de treball i classificació professional (codi de conveni num. 79002295012003) publicat al DOGC en data 1 d’abril de 2022.</w:t>
      </w: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 xml:space="preserve">S’ha establert a partir del càlcul del cost del personal necessari per donar cobertura al servei i del material necessari pel seu desenvolupament. </w:t>
      </w: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>Pel lloc de treball monitor/a s’ha pres com a referència la categoria tallerista del III Conveni col·lectiu del sector del lleure educatiu i sociocultural de Catalunya.</w:t>
      </w: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  <w:iCs/>
        </w:rPr>
        <w:lastRenderedPageBreak/>
        <w:t xml:space="preserve">Pel lloc de treball Coordinador/a s’ha pres com a referència la categoria Coordinador/a de projectes pedagògics i de lleure del </w:t>
      </w:r>
      <w:r w:rsidRPr="001B43C1">
        <w:rPr>
          <w:rFonts w:ascii="Arial" w:hAnsi="Arial" w:cs="Arial"/>
        </w:rPr>
        <w:t>III Conveni col·lectiu del sector del lleure educatiu i sociocultural de Catalunya.</w:t>
      </w:r>
    </w:p>
    <w:p w:rsidR="00DE6612" w:rsidRPr="001B43C1" w:rsidRDefault="00DE6612" w:rsidP="00DE6612">
      <w:pPr>
        <w:ind w:left="720"/>
        <w:contextualSpacing/>
        <w:rPr>
          <w:rFonts w:ascii="Arial" w:hAnsi="Arial" w:cs="Arial"/>
        </w:rPr>
      </w:pPr>
    </w:p>
    <w:p w:rsidR="00DE6612" w:rsidRPr="001B43C1" w:rsidRDefault="00DE6612" w:rsidP="00DE6612">
      <w:pPr>
        <w:rPr>
          <w:rFonts w:ascii="Arial" w:hAnsi="Arial" w:cs="Arial"/>
        </w:rPr>
      </w:pPr>
      <w:r w:rsidRPr="001B43C1">
        <w:rPr>
          <w:rFonts w:ascii="Arial" w:hAnsi="Arial" w:cs="Arial"/>
        </w:rPr>
        <w:t>D’acord amb l’exposat en el punt dotació per al servei dels Plecs tècnics, cada monitor/a tindrà una dedicació total de 55 hores, el que significa que el total dels divuit professionals dedicarà 990 hores i que la coordinació dedicarà 65 hores.</w:t>
      </w:r>
    </w:p>
    <w:p w:rsidR="00DE6612" w:rsidRPr="001B43C1" w:rsidRDefault="00DE6612" w:rsidP="00DE6612">
      <w:pPr>
        <w:rPr>
          <w:rFonts w:ascii="Arial" w:hAnsi="Arial" w:cs="Arial"/>
          <w:color w:val="76923C" w:themeColor="accent3" w:themeShade="BF"/>
        </w:rPr>
      </w:pPr>
    </w:p>
    <w:p w:rsidR="00DE6612" w:rsidRPr="001B43C1" w:rsidRDefault="00DE6612" w:rsidP="00DE6612">
      <w:pPr>
        <w:jc w:val="left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7A03CB" w:rsidRPr="009D16A6" w:rsidRDefault="007A03CB" w:rsidP="009D16A6">
      <w:pPr>
        <w:jc w:val="left"/>
        <w:rPr>
          <w:rFonts w:ascii="Arial" w:hAnsi="Arial" w:cs="Arial"/>
        </w:rPr>
      </w:pPr>
      <w:bookmarkStart w:id="0" w:name="_GoBack"/>
      <w:bookmarkEnd w:id="0"/>
    </w:p>
    <w:sectPr w:rsidR="007A03CB" w:rsidRPr="009D16A6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C65" w:rsidRDefault="004705F6">
      <w:r>
        <w:separator/>
      </w:r>
    </w:p>
  </w:endnote>
  <w:endnote w:type="continuationSeparator" w:id="0">
    <w:p w:rsidR="00877C65" w:rsidRDefault="0047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705F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705F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9D16A6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9D16A6">
      <w:rPr>
        <w:rFonts w:cs="Frutiger-LightCn"/>
        <w:noProof/>
        <w:sz w:val="16"/>
        <w:szCs w:val="16"/>
        <w:lang w:val="en-GB" w:eastAsia="es-ES_tradnl"/>
      </w:rPr>
      <w:t>3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5F6" w:rsidRDefault="004705F6">
    <w:pPr>
      <w:pStyle w:val="Piedepgina"/>
    </w:pPr>
    <w:r>
      <w:rPr>
        <w:noProof/>
        <w:lang w:eastAsia="ca-ES"/>
      </w:rPr>
      <w:drawing>
        <wp:anchor distT="0" distB="0" distL="114300" distR="114300" simplePos="0" relativeHeight="251657216" behindDoc="1" locked="0" layoutInCell="1" allowOverlap="1" wp14:anchorId="73B65327" wp14:editId="34A0E37F">
          <wp:simplePos x="0" y="0"/>
          <wp:positionH relativeFrom="column">
            <wp:posOffset>-572494</wp:posOffset>
          </wp:positionH>
          <wp:positionV relativeFrom="paragraph">
            <wp:posOffset>-159027</wp:posOffset>
          </wp:positionV>
          <wp:extent cx="6878361" cy="518825"/>
          <wp:effectExtent l="0" t="0" r="508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8361" cy="518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705F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2005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705F6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4705F6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C0D57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C65" w:rsidRDefault="004705F6">
      <w:r>
        <w:separator/>
      </w:r>
    </w:p>
  </w:footnote>
  <w:footnote w:type="continuationSeparator" w:id="0">
    <w:p w:rsidR="00877C65" w:rsidRDefault="0047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4705F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4705F6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310C5F" w:rsidTr="00F54B5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4705F6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²124E2Q3U2I475I0D0IE2A»</w:t>
          </w:r>
        </w:p>
        <w:p w:rsidR="006227E9" w:rsidRPr="002627BC" w:rsidRDefault="004705F6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124E 2Q3U 2I47 5I0D 0IE2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EDU/2023/112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EDU17I02DT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27-04-2023</w:t>
          </w:r>
        </w:p>
      </w:tc>
    </w:tr>
    <w:tr w:rsidR="00310C5F" w:rsidTr="00F54B5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310C5F" w:rsidTr="00F54B5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4705F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4705F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CONTRACTACIÓ DEL SERVEI DE TALLERS COMPETENCIALS INTENSIUS A L'ESTIU PER ALUMNAT DE PRIMÀRIA I SECUNDÀRIA PROVINENT DE CENTRES DEL PLA EDUCATIU D'ENTORN. (ANGLÈS, ARTÍSTIC, DESCOBERTA DE LA NATURA, TRANSICIONS EDUCATIVES)</w:t>
          </w:r>
        </w:p>
      </w:tc>
    </w:tr>
  </w:tbl>
  <w:p w:rsidR="00A671FE" w:rsidRDefault="004705F6" w:rsidP="00212113">
    <w:pPr>
      <w:pStyle w:val="Encabezado"/>
      <w:ind w:firstLine="0"/>
      <w:rPr>
        <w:sz w:val="18"/>
        <w:szCs w:val="18"/>
      </w:rPr>
    </w:pPr>
    <w:r>
      <w:rPr>
        <w:noProof/>
        <w:lang w:eastAsia="ca-ES"/>
      </w:rPr>
      <w:drawing>
        <wp:anchor distT="0" distB="0" distL="0" distR="0" simplePos="0" relativeHeight="251656192" behindDoc="1" locked="0" layoutInCell="0" allowOverlap="1" wp14:anchorId="091F2C61" wp14:editId="0BF62CBB">
          <wp:simplePos x="0" y="0"/>
          <wp:positionH relativeFrom="margin">
            <wp:posOffset>4261899</wp:posOffset>
          </wp:positionH>
          <wp:positionV relativeFrom="paragraph">
            <wp:posOffset>111263</wp:posOffset>
          </wp:positionV>
          <wp:extent cx="1274445" cy="882650"/>
          <wp:effectExtent l="0" t="0" r="190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Default="004705F6" w:rsidP="00212113">
    <w:pPr>
      <w:pStyle w:val="Encabezado"/>
      <w:ind w:firstLine="0"/>
      <w:rPr>
        <w:sz w:val="18"/>
        <w:szCs w:val="18"/>
      </w:rPr>
    </w:pPr>
  </w:p>
  <w:p w:rsidR="004705F6" w:rsidRPr="00D93F6D" w:rsidRDefault="004705F6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5FA09B7"/>
    <w:multiLevelType w:val="hybridMultilevel"/>
    <w:tmpl w:val="BDAE2B3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17F0E"/>
    <w:multiLevelType w:val="hybridMultilevel"/>
    <w:tmpl w:val="1DC0ABB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9B8143C"/>
    <w:multiLevelType w:val="hybridMultilevel"/>
    <w:tmpl w:val="E112F0F8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77D45E7"/>
    <w:multiLevelType w:val="hybridMultilevel"/>
    <w:tmpl w:val="F314E316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C1D31"/>
    <w:multiLevelType w:val="hybridMultilevel"/>
    <w:tmpl w:val="1EBA26CE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F2091"/>
    <w:multiLevelType w:val="hybridMultilevel"/>
    <w:tmpl w:val="7876A63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FB0E0C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267638"/>
    <w:multiLevelType w:val="hybridMultilevel"/>
    <w:tmpl w:val="0C50A20A"/>
    <w:lvl w:ilvl="0" w:tplc="57EA0E7A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76845"/>
    <w:multiLevelType w:val="hybridMultilevel"/>
    <w:tmpl w:val="64661F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76C0"/>
    <w:multiLevelType w:val="hybridMultilevel"/>
    <w:tmpl w:val="63DC855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5E1B5B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B91DAD"/>
    <w:multiLevelType w:val="hybridMultilevel"/>
    <w:tmpl w:val="D32CCDEA"/>
    <w:lvl w:ilvl="0" w:tplc="311A236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FC50FE"/>
    <w:multiLevelType w:val="hybridMultilevel"/>
    <w:tmpl w:val="C2443244"/>
    <w:lvl w:ilvl="0" w:tplc="F33C023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3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3"/>
  </w:num>
  <w:num w:numId="13">
    <w:abstractNumId w:val="38"/>
  </w:num>
  <w:num w:numId="14">
    <w:abstractNumId w:val="16"/>
  </w:num>
  <w:num w:numId="15">
    <w:abstractNumId w:val="28"/>
  </w:num>
  <w:num w:numId="16">
    <w:abstractNumId w:val="36"/>
  </w:num>
  <w:num w:numId="17">
    <w:abstractNumId w:val="35"/>
  </w:num>
  <w:num w:numId="18">
    <w:abstractNumId w:val="10"/>
  </w:num>
  <w:num w:numId="19">
    <w:abstractNumId w:val="43"/>
  </w:num>
  <w:num w:numId="20">
    <w:abstractNumId w:val="40"/>
  </w:num>
  <w:num w:numId="21">
    <w:abstractNumId w:val="32"/>
  </w:num>
  <w:num w:numId="22">
    <w:abstractNumId w:val="21"/>
  </w:num>
  <w:num w:numId="23">
    <w:abstractNumId w:val="31"/>
  </w:num>
  <w:num w:numId="24">
    <w:abstractNumId w:val="17"/>
  </w:num>
  <w:num w:numId="25">
    <w:abstractNumId w:val="26"/>
  </w:num>
  <w:num w:numId="26">
    <w:abstractNumId w:val="14"/>
  </w:num>
  <w:num w:numId="27">
    <w:abstractNumId w:val="22"/>
  </w:num>
  <w:num w:numId="28">
    <w:abstractNumId w:val="30"/>
  </w:num>
  <w:num w:numId="29">
    <w:abstractNumId w:val="19"/>
  </w:num>
  <w:num w:numId="30">
    <w:abstractNumId w:val="15"/>
  </w:num>
  <w:num w:numId="31">
    <w:abstractNumId w:val="12"/>
  </w:num>
  <w:num w:numId="32">
    <w:abstractNumId w:val="27"/>
  </w:num>
  <w:num w:numId="33">
    <w:abstractNumId w:val="11"/>
  </w:num>
  <w:num w:numId="34">
    <w:abstractNumId w:val="41"/>
  </w:num>
  <w:num w:numId="35">
    <w:abstractNumId w:val="29"/>
  </w:num>
  <w:num w:numId="36">
    <w:abstractNumId w:val="20"/>
  </w:num>
  <w:num w:numId="37">
    <w:abstractNumId w:val="39"/>
  </w:num>
  <w:num w:numId="38">
    <w:abstractNumId w:val="24"/>
  </w:num>
  <w:num w:numId="39">
    <w:abstractNumId w:val="34"/>
  </w:num>
  <w:num w:numId="40">
    <w:abstractNumId w:val="33"/>
  </w:num>
  <w:num w:numId="41">
    <w:abstractNumId w:val="37"/>
  </w:num>
  <w:num w:numId="42">
    <w:abstractNumId w:val="25"/>
  </w:num>
  <w:num w:numId="43">
    <w:abstractNumId w:val="18"/>
  </w:num>
  <w:num w:numId="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005D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0C5F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705F6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77C65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16A6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6612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4705F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4705F6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uiPriority w:val="99"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1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4705F6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4705F6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4705F6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705F6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705F6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05F6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4705F6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4705F6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705F6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705F6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705F6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705F6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705F6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705F6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705F6"/>
    <w:rPr>
      <w:color w:val="800080"/>
      <w:u w:val="single"/>
    </w:rPr>
  </w:style>
  <w:style w:type="paragraph" w:customStyle="1" w:styleId="a">
    <w:name w:val=".."/>
    <w:basedOn w:val="Normal"/>
    <w:rsid w:val="004705F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4705F6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705F6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4705F6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4705F6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4705F6"/>
    <w:rPr>
      <w:lang w:val="ca-ES"/>
    </w:rPr>
  </w:style>
  <w:style w:type="character" w:styleId="Refdenotaalpie">
    <w:name w:val="footnote reference"/>
    <w:semiHidden/>
    <w:rsid w:val="004705F6"/>
    <w:rPr>
      <w:vertAlign w:val="superscript"/>
    </w:rPr>
  </w:style>
  <w:style w:type="character" w:customStyle="1" w:styleId="cos">
    <w:name w:val="cos"/>
    <w:basedOn w:val="Fuentedeprrafopredeter"/>
    <w:rsid w:val="004705F6"/>
  </w:style>
  <w:style w:type="paragraph" w:customStyle="1" w:styleId="parrafo">
    <w:name w:val="parrafo"/>
    <w:basedOn w:val="Normal"/>
    <w:rsid w:val="004705F6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4705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05F6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705F6"/>
    <w:rPr>
      <w:lang w:val="x-none"/>
    </w:rPr>
  </w:style>
  <w:style w:type="paragraph" w:customStyle="1" w:styleId="Default">
    <w:name w:val="Default"/>
    <w:rsid w:val="004705F6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705F6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705F6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4705F6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4705F6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4705F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705F6"/>
    <w:rPr>
      <w:rFonts w:ascii="Verdana" w:hAnsi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924DA-8491-43DB-BC2B-85912626C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3</cp:revision>
  <cp:lastPrinted>2015-04-24T12:36:00Z</cp:lastPrinted>
  <dcterms:created xsi:type="dcterms:W3CDTF">2023-05-16T12:46:00Z</dcterms:created>
  <dcterms:modified xsi:type="dcterms:W3CDTF">2023-05-16T12:49:00Z</dcterms:modified>
</cp:coreProperties>
</file>