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D61D8" w:rsidRPr="009C75A9" w:rsidRDefault="008D61D8" w:rsidP="008D61D8">
      <w:pPr>
        <w:keepNext/>
        <w:jc w:val="both"/>
        <w:outlineLvl w:val="8"/>
        <w:rPr>
          <w:rFonts w:ascii="Arial" w:hAnsi="Arial" w:cs="Arial"/>
          <w:b/>
          <w:color w:val="000000"/>
          <w:spacing w:val="-2"/>
          <w:sz w:val="20"/>
          <w:u w:val="single"/>
        </w:rPr>
      </w:pPr>
      <w:r w:rsidRPr="009C75A9">
        <w:rPr>
          <w:rFonts w:ascii="Arial" w:hAnsi="Arial" w:cs="Arial"/>
          <w:b/>
          <w:color w:val="000000"/>
          <w:spacing w:val="-2"/>
          <w:sz w:val="20"/>
          <w:u w:val="single"/>
        </w:rPr>
        <w:t>ANNEX 8-A1 per a CONTRACTISTES</w:t>
      </w:r>
    </w:p>
    <w:p w:rsidR="008D61D8" w:rsidRPr="009C75A9" w:rsidRDefault="008D61D8" w:rsidP="008D61D8">
      <w:pPr>
        <w:jc w:val="both"/>
        <w:rPr>
          <w:rFonts w:ascii="Arial" w:hAnsi="Arial" w:cs="Arial"/>
          <w:sz w:val="20"/>
          <w:szCs w:val="20"/>
        </w:rPr>
      </w:pPr>
    </w:p>
    <w:p w:rsidR="008D61D8" w:rsidRPr="009C75A9" w:rsidRDefault="008D61D8" w:rsidP="008D61D8">
      <w:pPr>
        <w:jc w:val="center"/>
        <w:rPr>
          <w:rFonts w:ascii="Arial" w:hAnsi="Arial" w:cs="Arial"/>
          <w:b/>
          <w:sz w:val="20"/>
          <w:szCs w:val="20"/>
        </w:rPr>
      </w:pPr>
    </w:p>
    <w:p w:rsidR="008D61D8" w:rsidRPr="009C75A9" w:rsidRDefault="008D61D8" w:rsidP="008D61D8">
      <w:pPr>
        <w:jc w:val="center"/>
        <w:rPr>
          <w:rFonts w:ascii="Arial" w:hAnsi="Arial" w:cs="Arial"/>
          <w:b/>
          <w:sz w:val="20"/>
          <w:szCs w:val="20"/>
        </w:rPr>
      </w:pPr>
      <w:r w:rsidRPr="009C75A9">
        <w:rPr>
          <w:rFonts w:ascii="Arial" w:hAnsi="Arial" w:cs="Arial"/>
          <w:b/>
          <w:sz w:val="20"/>
          <w:szCs w:val="20"/>
        </w:rPr>
        <w:t>Declaració d’Absència de Conflicte d’Interès (DACI)</w:t>
      </w:r>
    </w:p>
    <w:p w:rsidR="008D61D8" w:rsidRPr="009C75A9" w:rsidRDefault="008D61D8" w:rsidP="008D61D8">
      <w:pPr>
        <w:jc w:val="both"/>
        <w:rPr>
          <w:rFonts w:ascii="Arial" w:hAnsi="Arial" w:cs="Arial"/>
          <w:sz w:val="20"/>
          <w:szCs w:val="20"/>
        </w:rPr>
      </w:pPr>
    </w:p>
    <w:p w:rsidR="008D61D8" w:rsidRPr="009C75A9" w:rsidRDefault="008D61D8" w:rsidP="008D61D8">
      <w:pPr>
        <w:jc w:val="both"/>
        <w:rPr>
          <w:rFonts w:ascii="Arial" w:hAnsi="Arial" w:cs="Arial"/>
          <w:sz w:val="20"/>
          <w:szCs w:val="20"/>
        </w:rPr>
      </w:pPr>
      <w:r w:rsidRPr="009C75A9">
        <w:rPr>
          <w:rFonts w:ascii="Arial" w:hAnsi="Arial" w:cs="Arial"/>
          <w:sz w:val="20"/>
          <w:szCs w:val="20"/>
        </w:rPr>
        <w:t xml:space="preserve">Expedient: </w:t>
      </w:r>
      <w:r>
        <w:rPr>
          <w:rFonts w:ascii="Arial" w:hAnsi="Arial" w:cs="Arial"/>
          <w:b/>
          <w:sz w:val="20"/>
          <w:szCs w:val="20"/>
        </w:rPr>
        <w:t>URB/2023/93</w:t>
      </w:r>
      <w:r w:rsidRPr="009C75A9">
        <w:rPr>
          <w:rFonts w:ascii="Arial" w:hAnsi="Arial" w:cs="Arial"/>
          <w:b/>
          <w:sz w:val="20"/>
          <w:szCs w:val="20"/>
        </w:rPr>
        <w:t xml:space="preserve"> </w:t>
      </w:r>
    </w:p>
    <w:p w:rsidR="008D61D8" w:rsidRPr="009C75A9" w:rsidRDefault="008D61D8" w:rsidP="008D61D8">
      <w:pPr>
        <w:jc w:val="both"/>
        <w:rPr>
          <w:rFonts w:ascii="Arial" w:hAnsi="Arial" w:cs="Arial"/>
          <w:sz w:val="20"/>
          <w:szCs w:val="20"/>
        </w:rPr>
      </w:pPr>
    </w:p>
    <w:p w:rsidR="008D61D8" w:rsidRPr="009C75A9" w:rsidRDefault="008D61D8" w:rsidP="008D61D8">
      <w:pPr>
        <w:jc w:val="both"/>
        <w:rPr>
          <w:rFonts w:ascii="Arial" w:hAnsi="Arial" w:cs="Arial"/>
          <w:sz w:val="20"/>
          <w:szCs w:val="20"/>
        </w:rPr>
      </w:pPr>
      <w:r w:rsidRPr="009C75A9">
        <w:rPr>
          <w:rFonts w:ascii="Arial" w:hAnsi="Arial" w:cs="Arial"/>
          <w:sz w:val="20"/>
          <w:szCs w:val="20"/>
        </w:rPr>
        <w:t xml:space="preserve">Contracte: </w:t>
      </w:r>
      <w:r w:rsidRPr="00500DA4">
        <w:rPr>
          <w:rFonts w:ascii="Arial" w:hAnsi="Arial" w:cs="Arial"/>
          <w:b/>
          <w:sz w:val="20"/>
          <w:szCs w:val="22"/>
        </w:rPr>
        <w:t xml:space="preserve">“Reforma de la cruïlla Gran Via – Quevedo i del pati de </w:t>
      </w:r>
      <w:proofErr w:type="spellStart"/>
      <w:r w:rsidRPr="00500DA4">
        <w:rPr>
          <w:rFonts w:ascii="Arial" w:hAnsi="Arial" w:cs="Arial"/>
          <w:b/>
          <w:sz w:val="20"/>
          <w:szCs w:val="22"/>
        </w:rPr>
        <w:t>l’Artèxtil</w:t>
      </w:r>
      <w:proofErr w:type="spellEnd"/>
      <w:r w:rsidRPr="00500DA4">
        <w:rPr>
          <w:rFonts w:ascii="Arial" w:hAnsi="Arial" w:cs="Arial"/>
          <w:b/>
          <w:sz w:val="20"/>
          <w:szCs w:val="22"/>
        </w:rPr>
        <w:t>. Fase2”</w:t>
      </w:r>
    </w:p>
    <w:p w:rsidR="008D61D8" w:rsidRPr="009C75A9" w:rsidRDefault="008D61D8" w:rsidP="008D61D8">
      <w:pPr>
        <w:jc w:val="both"/>
        <w:rPr>
          <w:rFonts w:ascii="Arial" w:hAnsi="Arial" w:cs="Arial"/>
          <w:sz w:val="20"/>
          <w:szCs w:val="20"/>
        </w:rPr>
      </w:pPr>
    </w:p>
    <w:p w:rsidR="008D61D8" w:rsidRPr="009C75A9" w:rsidRDefault="008D61D8" w:rsidP="008D61D8">
      <w:pPr>
        <w:jc w:val="both"/>
        <w:rPr>
          <w:rFonts w:ascii="Arial" w:hAnsi="Arial" w:cs="Arial"/>
          <w:sz w:val="20"/>
          <w:szCs w:val="20"/>
        </w:rPr>
      </w:pPr>
    </w:p>
    <w:p w:rsidR="008D61D8" w:rsidRPr="009C75A9" w:rsidRDefault="008D61D8" w:rsidP="008D61D8">
      <w:pPr>
        <w:jc w:val="both"/>
        <w:rPr>
          <w:rFonts w:ascii="Arial" w:hAnsi="Arial" w:cs="Arial"/>
          <w:sz w:val="20"/>
          <w:szCs w:val="20"/>
        </w:rPr>
      </w:pPr>
    </w:p>
    <w:p w:rsidR="008D61D8" w:rsidRPr="009C75A9" w:rsidRDefault="008D61D8" w:rsidP="008D61D8">
      <w:pPr>
        <w:jc w:val="both"/>
        <w:rPr>
          <w:rFonts w:ascii="Arial" w:hAnsi="Arial" w:cs="Arial"/>
          <w:sz w:val="20"/>
          <w:szCs w:val="20"/>
        </w:rPr>
      </w:pPr>
      <w:r w:rsidRPr="009C75A9">
        <w:rPr>
          <w:rFonts w:ascii="Arial" w:hAnsi="Arial" w:cs="Arial"/>
          <w:sz w:val="20"/>
          <w:szCs w:val="20"/>
        </w:rPr>
        <w:t xml:space="preserve">A fi de garantir la imparcialitat en el procediment de referencia, el/la </w:t>
      </w:r>
      <w:proofErr w:type="spellStart"/>
      <w:r w:rsidRPr="009C75A9">
        <w:rPr>
          <w:rFonts w:ascii="Arial" w:hAnsi="Arial" w:cs="Arial"/>
          <w:sz w:val="20"/>
          <w:szCs w:val="20"/>
        </w:rPr>
        <w:t>sotasignant</w:t>
      </w:r>
      <w:proofErr w:type="spellEnd"/>
      <w:r w:rsidRPr="009C75A9">
        <w:rPr>
          <w:rFonts w:ascii="Arial" w:hAnsi="Arial" w:cs="Arial"/>
          <w:sz w:val="20"/>
          <w:szCs w:val="20"/>
        </w:rPr>
        <w:t xml:space="preserve"> com a participant en el procés de preparació i tramitació de l'expedient, declara: </w:t>
      </w:r>
    </w:p>
    <w:p w:rsidR="008D61D8" w:rsidRPr="009C75A9" w:rsidRDefault="008D61D8" w:rsidP="008D61D8">
      <w:pPr>
        <w:jc w:val="both"/>
        <w:rPr>
          <w:rFonts w:ascii="Arial" w:hAnsi="Arial" w:cs="Arial"/>
          <w:sz w:val="20"/>
          <w:szCs w:val="20"/>
        </w:rPr>
      </w:pPr>
    </w:p>
    <w:p w:rsidR="008D61D8" w:rsidRPr="009C75A9" w:rsidRDefault="008D61D8" w:rsidP="008D61D8">
      <w:pPr>
        <w:jc w:val="both"/>
        <w:rPr>
          <w:rFonts w:ascii="Arial" w:hAnsi="Arial" w:cs="Arial"/>
          <w:sz w:val="20"/>
          <w:szCs w:val="20"/>
        </w:rPr>
      </w:pPr>
      <w:r w:rsidRPr="009C75A9">
        <w:rPr>
          <w:rFonts w:ascii="Arial" w:hAnsi="Arial" w:cs="Arial"/>
          <w:b/>
          <w:sz w:val="20"/>
          <w:szCs w:val="20"/>
        </w:rPr>
        <w:t>Primer-</w:t>
      </w:r>
      <w:r w:rsidRPr="009C75A9">
        <w:rPr>
          <w:rFonts w:ascii="Arial" w:hAnsi="Arial" w:cs="Arial"/>
          <w:sz w:val="20"/>
          <w:szCs w:val="20"/>
        </w:rPr>
        <w:t xml:space="preserve"> Estar informat/</w:t>
      </w:r>
      <w:proofErr w:type="spellStart"/>
      <w:r w:rsidRPr="009C75A9">
        <w:rPr>
          <w:rFonts w:ascii="Arial" w:hAnsi="Arial" w:cs="Arial"/>
          <w:sz w:val="20"/>
          <w:szCs w:val="20"/>
        </w:rPr>
        <w:t>ada</w:t>
      </w:r>
      <w:proofErr w:type="spellEnd"/>
      <w:r w:rsidRPr="009C75A9">
        <w:rPr>
          <w:rFonts w:ascii="Arial" w:hAnsi="Arial" w:cs="Arial"/>
          <w:sz w:val="20"/>
          <w:szCs w:val="20"/>
        </w:rPr>
        <w:t xml:space="preserve"> del següent: </w:t>
      </w:r>
    </w:p>
    <w:p w:rsidR="008D61D8" w:rsidRPr="009C75A9" w:rsidRDefault="008D61D8" w:rsidP="008D61D8">
      <w:pPr>
        <w:jc w:val="both"/>
        <w:rPr>
          <w:rFonts w:ascii="Arial" w:hAnsi="Arial" w:cs="Arial"/>
          <w:sz w:val="20"/>
          <w:szCs w:val="20"/>
        </w:rPr>
      </w:pPr>
      <w:r w:rsidRPr="009C75A9">
        <w:rPr>
          <w:rFonts w:ascii="Arial" w:hAnsi="Arial" w:cs="Arial"/>
          <w:sz w:val="20"/>
          <w:szCs w:val="20"/>
        </w:rPr>
        <w:t>1.</w:t>
      </w:r>
      <w:r w:rsidRPr="009C75A9">
        <w:rPr>
          <w:rFonts w:ascii="Arial" w:hAnsi="Arial" w:cs="Arial"/>
          <w:sz w:val="20"/>
          <w:szCs w:val="20"/>
        </w:rPr>
        <w:tab/>
        <w:t xml:space="preserve">Que l'article 61.3 «Conflicte d'interessos», del Reglament (UE, </w:t>
      </w:r>
      <w:proofErr w:type="spellStart"/>
      <w:r w:rsidRPr="009C75A9">
        <w:rPr>
          <w:rFonts w:ascii="Arial" w:hAnsi="Arial" w:cs="Arial"/>
          <w:sz w:val="20"/>
          <w:szCs w:val="20"/>
        </w:rPr>
        <w:t>Euratom</w:t>
      </w:r>
      <w:proofErr w:type="spellEnd"/>
      <w:r w:rsidRPr="009C75A9">
        <w:rPr>
          <w:rFonts w:ascii="Arial" w:hAnsi="Arial" w:cs="Arial"/>
          <w:sz w:val="20"/>
          <w:szCs w:val="20"/>
        </w:rPr>
        <w:t>) 2018/1046 del Parlament Europeu i del Consell, de 18 de juliol (Reglament financer de la UE), estableix que «existirà conflicte d'interessos quan l’exercici imparcial i objectiu de les funcions es vegi compromès per raons familiars, afectives, d'afinitat política o nacional, d'interès econòmic o per qualsevol motiu directe o indirecte d'interès personal.»</w:t>
      </w:r>
    </w:p>
    <w:p w:rsidR="008D61D8" w:rsidRPr="009C75A9" w:rsidRDefault="008D61D8" w:rsidP="008D61D8">
      <w:pPr>
        <w:jc w:val="both"/>
        <w:rPr>
          <w:rFonts w:ascii="Arial" w:hAnsi="Arial" w:cs="Arial"/>
          <w:sz w:val="20"/>
          <w:szCs w:val="20"/>
        </w:rPr>
      </w:pPr>
    </w:p>
    <w:p w:rsidR="008D61D8" w:rsidRPr="009C75A9" w:rsidRDefault="008D61D8" w:rsidP="008D61D8">
      <w:pPr>
        <w:jc w:val="both"/>
        <w:rPr>
          <w:rFonts w:ascii="Arial" w:hAnsi="Arial" w:cs="Arial"/>
          <w:sz w:val="20"/>
          <w:szCs w:val="20"/>
        </w:rPr>
      </w:pPr>
      <w:r w:rsidRPr="009C75A9">
        <w:rPr>
          <w:rFonts w:ascii="Arial" w:hAnsi="Arial" w:cs="Arial"/>
          <w:sz w:val="20"/>
          <w:szCs w:val="20"/>
        </w:rPr>
        <w:t>2.</w:t>
      </w:r>
      <w:r w:rsidRPr="009C75A9">
        <w:rPr>
          <w:rFonts w:ascii="Arial" w:hAnsi="Arial" w:cs="Arial"/>
          <w:sz w:val="20"/>
          <w:szCs w:val="20"/>
        </w:rPr>
        <w:tab/>
        <w:t xml:space="preserve">Que l'article 64 «Lluita contra la corrupció i la prevenció dels conflictes d'interessos» de la Llei 9/2017, de 8 de novembre, de Contractes del Sector Públic, per la que es transposen a l’ordenament jurídic espanyol, les Directives del Parlament Europeu i del Consell 2014/23/UE i 2014/24/UE, de 26 de febrer de 2014, defineix el conflicte d’interès com « qualsevol situació en la que el personal al servei de l’òrgan de contractació, que a més participi en el desenvolupament del procediment de licitació o pugui influir en el resultat del mateix, tingui directa o indirectament un interès financer, econòmic o personal que pogués semblar que compromet la seva imparcialitat i independència en el context del procediment de licitació» </w:t>
      </w:r>
    </w:p>
    <w:p w:rsidR="008D61D8" w:rsidRPr="009C75A9" w:rsidRDefault="008D61D8" w:rsidP="008D61D8">
      <w:pPr>
        <w:jc w:val="both"/>
        <w:rPr>
          <w:rFonts w:ascii="Arial" w:hAnsi="Arial" w:cs="Arial"/>
          <w:sz w:val="20"/>
          <w:szCs w:val="20"/>
        </w:rPr>
      </w:pPr>
    </w:p>
    <w:p w:rsidR="008D61D8" w:rsidRPr="009C75A9" w:rsidRDefault="008D61D8" w:rsidP="008D61D8">
      <w:pPr>
        <w:jc w:val="both"/>
        <w:rPr>
          <w:rFonts w:ascii="Arial" w:hAnsi="Arial" w:cs="Arial"/>
          <w:sz w:val="20"/>
          <w:szCs w:val="20"/>
        </w:rPr>
      </w:pPr>
      <w:r w:rsidRPr="009C75A9">
        <w:rPr>
          <w:rFonts w:ascii="Arial" w:hAnsi="Arial" w:cs="Arial"/>
          <w:sz w:val="20"/>
          <w:szCs w:val="20"/>
        </w:rPr>
        <w:t>3.</w:t>
      </w:r>
      <w:r w:rsidRPr="009C75A9">
        <w:rPr>
          <w:rFonts w:ascii="Arial" w:hAnsi="Arial" w:cs="Arial"/>
          <w:sz w:val="20"/>
          <w:szCs w:val="20"/>
        </w:rPr>
        <w:tab/>
        <w:t xml:space="preserve">Que l'apartat 3 de la Disposició Addicional cent dotzena de la Llei 31/2022, de 23 de desembre, de Pressupostos Generals de l’Estat per a 2023, estableix que «L’anàlisi sistemàtica i automatitzada del risc de conflicte d’interès resulta d’aplicació als empleats públics i la resta de personal al servei de les entitats decisores, executores i instrumentals que participin, de manera individual o mitjançant la seva pertinença a òrgans col·legiats, en els procediments descrits d’adjudicació de contractes o de concessió de subvencions» </w:t>
      </w:r>
    </w:p>
    <w:p w:rsidR="008D61D8" w:rsidRPr="009C75A9" w:rsidRDefault="008D61D8" w:rsidP="008D61D8">
      <w:pPr>
        <w:jc w:val="both"/>
        <w:rPr>
          <w:rFonts w:ascii="Arial" w:hAnsi="Arial" w:cs="Arial"/>
          <w:sz w:val="20"/>
          <w:szCs w:val="20"/>
        </w:rPr>
      </w:pPr>
    </w:p>
    <w:p w:rsidR="008D61D8" w:rsidRPr="009C75A9" w:rsidRDefault="008D61D8" w:rsidP="008D61D8">
      <w:pPr>
        <w:jc w:val="both"/>
        <w:rPr>
          <w:rFonts w:ascii="Arial" w:hAnsi="Arial" w:cs="Arial"/>
          <w:sz w:val="20"/>
          <w:szCs w:val="20"/>
        </w:rPr>
      </w:pPr>
      <w:r w:rsidRPr="009C75A9">
        <w:rPr>
          <w:rFonts w:ascii="Arial" w:hAnsi="Arial" w:cs="Arial"/>
          <w:sz w:val="20"/>
          <w:szCs w:val="20"/>
        </w:rPr>
        <w:t>4.</w:t>
      </w:r>
      <w:r w:rsidRPr="009C75A9">
        <w:rPr>
          <w:rFonts w:ascii="Arial" w:hAnsi="Arial" w:cs="Arial"/>
          <w:sz w:val="20"/>
          <w:szCs w:val="20"/>
        </w:rPr>
        <w:tab/>
        <w:t>Que l’apartat 4 de la citada disposició addicional cent dotzena estableix que:</w:t>
      </w:r>
    </w:p>
    <w:p w:rsidR="008D61D8" w:rsidRPr="009C75A9" w:rsidRDefault="008D61D8" w:rsidP="008D61D8">
      <w:pPr>
        <w:ind w:left="708"/>
        <w:jc w:val="both"/>
        <w:rPr>
          <w:rFonts w:ascii="Arial" w:hAnsi="Arial" w:cs="Arial"/>
          <w:sz w:val="20"/>
          <w:szCs w:val="20"/>
        </w:rPr>
      </w:pPr>
      <w:r w:rsidRPr="009C75A9">
        <w:rPr>
          <w:rFonts w:ascii="Arial" w:hAnsi="Arial" w:cs="Arial"/>
          <w:sz w:val="20"/>
          <w:szCs w:val="20"/>
        </w:rPr>
        <w:t>- «Mitjançant l’eina informàtica s’analitzaran les possibles relacions familiars o vinculacions societàries, directes o indirectes, en el que es pugui donar un interès personal o econòmic susceptible de provocar un conflicte d’interès, entre les persones a les que es refereix l’apartat anterior i els participants en cada procediment.»</w:t>
      </w:r>
    </w:p>
    <w:p w:rsidR="008D61D8" w:rsidRPr="009C75A9" w:rsidRDefault="008D61D8" w:rsidP="008D61D8">
      <w:pPr>
        <w:ind w:left="708"/>
        <w:jc w:val="both"/>
        <w:rPr>
          <w:rFonts w:ascii="Arial" w:hAnsi="Arial" w:cs="Arial"/>
          <w:sz w:val="20"/>
          <w:szCs w:val="20"/>
        </w:rPr>
      </w:pPr>
      <w:r w:rsidRPr="009C75A9">
        <w:rPr>
          <w:rFonts w:ascii="Arial" w:hAnsi="Arial" w:cs="Arial"/>
          <w:sz w:val="20"/>
          <w:szCs w:val="20"/>
        </w:rPr>
        <w:t>- «Per a la identificació de les relacions o vinculacions, l’eina contindrà, entre d’altres, les dades de la titularitat real de les persones jurídiques a les que es refereix l’article 22.2.d).iii) del Reglament ( UE) 241/2021, de 12 de febrer, que constin en les bases de dades de l’Agència Estatal d’Administració Tributària i les obtingudes mitjançant els convenis subscrits amb els Col·legis de Notaris i Registradors.»</w:t>
      </w:r>
    </w:p>
    <w:p w:rsidR="008D61D8" w:rsidRPr="009C75A9" w:rsidRDefault="008D61D8" w:rsidP="008D61D8">
      <w:pPr>
        <w:jc w:val="both"/>
        <w:rPr>
          <w:rFonts w:ascii="Arial" w:hAnsi="Arial" w:cs="Arial"/>
          <w:sz w:val="20"/>
          <w:szCs w:val="20"/>
        </w:rPr>
      </w:pPr>
    </w:p>
    <w:p w:rsidR="008D61D8" w:rsidRPr="009C75A9" w:rsidRDefault="008D61D8" w:rsidP="008D61D8">
      <w:pPr>
        <w:jc w:val="both"/>
        <w:rPr>
          <w:rFonts w:ascii="Arial" w:hAnsi="Arial" w:cs="Arial"/>
          <w:sz w:val="20"/>
          <w:szCs w:val="20"/>
        </w:rPr>
      </w:pPr>
      <w:r w:rsidRPr="009C75A9">
        <w:rPr>
          <w:rFonts w:ascii="Arial" w:hAnsi="Arial" w:cs="Arial"/>
          <w:b/>
          <w:sz w:val="20"/>
          <w:szCs w:val="20"/>
        </w:rPr>
        <w:t>Segon-</w:t>
      </w:r>
      <w:r w:rsidRPr="009C75A9">
        <w:rPr>
          <w:rFonts w:ascii="Arial" w:hAnsi="Arial" w:cs="Arial"/>
          <w:sz w:val="20"/>
          <w:szCs w:val="20"/>
        </w:rPr>
        <w:t xml:space="preserve"> Que en el moment de la signatura d’aquesta declaració i a la llum de la informació de la que disposa, no es troba incurs/a en cap situació que es pugui qualificar de conflicte d'interès en els termes previstos en l’aparat quatre de la disposició addicional centena dotzena, que pugui afectar al procediment de licitació. </w:t>
      </w:r>
    </w:p>
    <w:p w:rsidR="008D61D8" w:rsidRPr="009C75A9" w:rsidRDefault="008D61D8" w:rsidP="008D61D8">
      <w:pPr>
        <w:jc w:val="both"/>
        <w:rPr>
          <w:rFonts w:ascii="Arial" w:hAnsi="Arial" w:cs="Arial"/>
          <w:sz w:val="20"/>
          <w:szCs w:val="20"/>
        </w:rPr>
      </w:pPr>
    </w:p>
    <w:p w:rsidR="008D61D8" w:rsidRPr="009C75A9" w:rsidRDefault="008D61D8" w:rsidP="008D61D8">
      <w:pPr>
        <w:jc w:val="both"/>
        <w:rPr>
          <w:rFonts w:ascii="Arial" w:hAnsi="Arial" w:cs="Arial"/>
          <w:sz w:val="20"/>
          <w:szCs w:val="20"/>
        </w:rPr>
      </w:pPr>
      <w:r w:rsidRPr="009C75A9">
        <w:rPr>
          <w:rFonts w:ascii="Arial" w:hAnsi="Arial" w:cs="Arial"/>
          <w:b/>
          <w:sz w:val="20"/>
          <w:szCs w:val="20"/>
        </w:rPr>
        <w:t>Tercer-</w:t>
      </w:r>
      <w:r w:rsidRPr="009C75A9">
        <w:rPr>
          <w:rFonts w:ascii="Arial" w:hAnsi="Arial" w:cs="Arial"/>
          <w:sz w:val="20"/>
          <w:szCs w:val="20"/>
        </w:rPr>
        <w:t xml:space="preserve"> Que es compromet a posar en coneixement de l'òrgan de contractació, sense dilació, qualsevol situació de conflicte d'interès que pogués conèixer i produir-se en qualsevol moment del procediment en curs.</w:t>
      </w:r>
    </w:p>
    <w:p w:rsidR="008D61D8" w:rsidRPr="009C75A9" w:rsidRDefault="008D61D8" w:rsidP="008D61D8">
      <w:pPr>
        <w:jc w:val="both"/>
        <w:rPr>
          <w:rFonts w:ascii="Arial" w:hAnsi="Arial" w:cs="Arial"/>
          <w:sz w:val="20"/>
          <w:szCs w:val="20"/>
        </w:rPr>
      </w:pPr>
    </w:p>
    <w:p w:rsidR="008D61D8" w:rsidRPr="009C75A9" w:rsidRDefault="008D61D8" w:rsidP="008D61D8">
      <w:pPr>
        <w:jc w:val="both"/>
        <w:rPr>
          <w:rFonts w:ascii="Arial" w:hAnsi="Arial" w:cs="Arial"/>
          <w:sz w:val="20"/>
          <w:szCs w:val="20"/>
        </w:rPr>
      </w:pPr>
      <w:r w:rsidRPr="009C75A9">
        <w:rPr>
          <w:rFonts w:ascii="Arial" w:hAnsi="Arial" w:cs="Arial"/>
          <w:b/>
          <w:sz w:val="20"/>
          <w:szCs w:val="20"/>
        </w:rPr>
        <w:t>Quart-</w:t>
      </w:r>
      <w:r w:rsidRPr="009C75A9">
        <w:rPr>
          <w:rFonts w:ascii="Arial" w:hAnsi="Arial" w:cs="Arial"/>
          <w:sz w:val="20"/>
          <w:szCs w:val="20"/>
        </w:rPr>
        <w:t xml:space="preserve"> Que coneix que una declaració d'absència de conflicte d'interès que es demostri que sigui falsa, comportarà les conseqüències disciplinàries/administratives / judicials que estableixi la normativa aplicable. </w:t>
      </w:r>
    </w:p>
    <w:p w:rsidR="008D61D8" w:rsidRPr="009C75A9" w:rsidRDefault="008D61D8" w:rsidP="008D61D8">
      <w:pPr>
        <w:jc w:val="both"/>
        <w:rPr>
          <w:rFonts w:ascii="Arial" w:hAnsi="Arial" w:cs="Arial"/>
          <w:sz w:val="20"/>
          <w:szCs w:val="20"/>
        </w:rPr>
      </w:pPr>
    </w:p>
    <w:p w:rsidR="008D61D8" w:rsidRPr="009C75A9" w:rsidRDefault="008D61D8" w:rsidP="008D61D8">
      <w:pPr>
        <w:jc w:val="both"/>
        <w:rPr>
          <w:rFonts w:ascii="Arial" w:hAnsi="Arial" w:cs="Arial"/>
          <w:sz w:val="20"/>
          <w:szCs w:val="20"/>
        </w:rPr>
      </w:pPr>
    </w:p>
    <w:p w:rsidR="008D61D8" w:rsidRPr="009C75A9" w:rsidRDefault="008D61D8" w:rsidP="008D61D8">
      <w:pPr>
        <w:jc w:val="both"/>
        <w:rPr>
          <w:rFonts w:ascii="Arial" w:hAnsi="Arial" w:cs="Arial"/>
          <w:sz w:val="20"/>
          <w:szCs w:val="20"/>
        </w:rPr>
      </w:pPr>
    </w:p>
    <w:p w:rsidR="008D61D8" w:rsidRPr="009C75A9" w:rsidRDefault="008D61D8" w:rsidP="008D61D8">
      <w:pPr>
        <w:jc w:val="both"/>
        <w:rPr>
          <w:rFonts w:ascii="Arial" w:hAnsi="Arial" w:cs="Arial"/>
          <w:sz w:val="20"/>
          <w:szCs w:val="20"/>
        </w:rPr>
      </w:pPr>
      <w:r w:rsidRPr="009C75A9">
        <w:rPr>
          <w:rFonts w:ascii="Arial" w:hAnsi="Arial" w:cs="Arial"/>
          <w:sz w:val="20"/>
          <w:szCs w:val="20"/>
        </w:rPr>
        <w:t>I perquè consti, signo aquesta declaració</w:t>
      </w:r>
    </w:p>
    <w:p w:rsidR="008D61D8" w:rsidRPr="009C75A9" w:rsidRDefault="008D61D8" w:rsidP="008D61D8">
      <w:pPr>
        <w:jc w:val="both"/>
        <w:rPr>
          <w:rFonts w:ascii="Arial" w:hAnsi="Arial" w:cs="Arial"/>
          <w:sz w:val="20"/>
          <w:szCs w:val="20"/>
        </w:rPr>
      </w:pPr>
    </w:p>
    <w:p w:rsidR="008D61D8" w:rsidRPr="009C75A9" w:rsidRDefault="008D61D8" w:rsidP="008D61D8">
      <w:pPr>
        <w:jc w:val="both"/>
        <w:rPr>
          <w:rFonts w:ascii="Arial" w:hAnsi="Arial" w:cs="Arial"/>
          <w:sz w:val="20"/>
          <w:szCs w:val="20"/>
        </w:rPr>
      </w:pPr>
      <w:r w:rsidRPr="009C75A9">
        <w:rPr>
          <w:rFonts w:ascii="Arial" w:hAnsi="Arial" w:cs="Arial"/>
          <w:sz w:val="20"/>
          <w:szCs w:val="20"/>
        </w:rPr>
        <w:t xml:space="preserve">(data, signatura, Nom complert i DNI) </w:t>
      </w:r>
    </w:p>
    <w:p w:rsidR="008D61D8" w:rsidRPr="009C75A9" w:rsidRDefault="008D61D8" w:rsidP="008D61D8">
      <w:pPr>
        <w:jc w:val="both"/>
        <w:rPr>
          <w:rFonts w:ascii="Arial" w:hAnsi="Arial" w:cs="Arial"/>
          <w:sz w:val="20"/>
          <w:szCs w:val="20"/>
        </w:rPr>
      </w:pPr>
    </w:p>
    <w:p w:rsidR="008D61D8" w:rsidRPr="009C75A9" w:rsidRDefault="008D61D8" w:rsidP="008D61D8">
      <w:pPr>
        <w:jc w:val="both"/>
        <w:rPr>
          <w:rFonts w:ascii="Arial" w:hAnsi="Arial" w:cs="Arial"/>
          <w:sz w:val="20"/>
          <w:szCs w:val="20"/>
        </w:rPr>
      </w:pPr>
    </w:p>
    <w:p w:rsidR="008D61D8" w:rsidRPr="009C75A9" w:rsidRDefault="008D61D8" w:rsidP="008D61D8">
      <w:pPr>
        <w:jc w:val="both"/>
        <w:rPr>
          <w:rFonts w:ascii="Arial" w:hAnsi="Arial" w:cs="Arial"/>
          <w:sz w:val="20"/>
          <w:szCs w:val="20"/>
        </w:rPr>
      </w:pPr>
      <w:bookmarkStart w:id="0" w:name="_GoBack"/>
      <w:bookmarkEnd w:id="0"/>
    </w:p>
    <w:sectPr w:rsidR="008D61D8" w:rsidRPr="009C75A9" w:rsidSect="007C2B1C"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endnotePr>
        <w:numFmt w:val="decimal"/>
      </w:endnotePr>
      <w:type w:val="continuous"/>
      <w:pgSz w:w="12240" w:h="15840" w:code="1"/>
      <w:pgMar w:top="1701" w:right="1440" w:bottom="1078" w:left="1440" w:header="708" w:footer="1440" w:gutter="0"/>
      <w:cols w:space="708"/>
      <w:noEndnote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00DA4" w:rsidRDefault="00500DA4">
      <w:r>
        <w:separator/>
      </w:r>
    </w:p>
  </w:endnote>
  <w:endnote w:type="continuationSeparator" w:id="0">
    <w:p w:rsidR="00500DA4" w:rsidRDefault="00500DA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00DA4" w:rsidRDefault="00500DA4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500DA4" w:rsidRDefault="00500DA4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00DA4" w:rsidRDefault="00500DA4">
    <w:pPr>
      <w:pStyle w:val="Piedepgina"/>
      <w:framePr w:wrap="around" w:vAnchor="text" w:hAnchor="margin" w:xAlign="right" w:y="1"/>
      <w:rPr>
        <w:rStyle w:val="Nmerodepgina"/>
      </w:rPr>
    </w:pPr>
  </w:p>
  <w:p w:rsidR="00500DA4" w:rsidRDefault="007C2B1C">
    <w:pPr>
      <w:pStyle w:val="Piedepgina"/>
      <w:ind w:right="360"/>
    </w:pPr>
    <w:r>
      <w:rPr>
        <w:noProof/>
        <w:lang w:eastAsia="ca-ES"/>
      </w:rPr>
      <w:drawing>
        <wp:inline distT="0" distB="0" distL="0" distR="0" wp14:anchorId="3FD9B907">
          <wp:extent cx="5614670" cy="311150"/>
          <wp:effectExtent l="0" t="0" r="5080" b="0"/>
          <wp:docPr id="8" name="Imagen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4670" cy="3111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657CB" w:rsidRDefault="00D657CB">
    <w:pPr>
      <w:pStyle w:val="Piedepgina"/>
    </w:pPr>
    <w:r>
      <w:rPr>
        <w:noProof/>
        <w:lang w:eastAsia="ca-ES"/>
      </w:rPr>
      <w:drawing>
        <wp:inline distT="0" distB="0" distL="0" distR="0" wp14:anchorId="4B45E602">
          <wp:extent cx="5614670" cy="311150"/>
          <wp:effectExtent l="0" t="0" r="5080" b="0"/>
          <wp:docPr id="6" name="Imagen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4670" cy="3111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00DA4" w:rsidRDefault="00500DA4">
      <w:r>
        <w:separator/>
      </w:r>
    </w:p>
  </w:footnote>
  <w:footnote w:type="continuationSeparator" w:id="0">
    <w:p w:rsidR="00500DA4" w:rsidRDefault="00500DA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00DA4" w:rsidRDefault="008F07C2">
    <w:pPr>
      <w:pStyle w:val="Encabezado"/>
      <w:spacing w:after="40"/>
      <w:ind w:left="3538"/>
      <w:jc w:val="right"/>
      <w:rPr>
        <w:rFonts w:ascii="Arial" w:hAnsi="Arial" w:cs="Arial"/>
        <w:sz w:val="18"/>
      </w:rPr>
    </w:pPr>
    <w:r>
      <w:rPr>
        <w:rFonts w:ascii="Arial" w:hAnsi="Arial" w:cs="Arial"/>
        <w:noProof/>
        <w:sz w:val="18"/>
      </w:rPr>
      <w:object w:dxaOrig="1440" w:dyaOrig="144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3" type="#_x0000_t75" style="position:absolute;left:0;text-align:left;margin-left:-18.95pt;margin-top:-1.1pt;width:102pt;height:51.2pt;z-index:251657216">
          <v:imagedata r:id="rId1" o:title=""/>
        </v:shape>
        <o:OLEObject Type="Embed" ProgID="MSPhotoEd.3" ShapeID="_x0000_s2053" DrawAspect="Content" ObjectID="_1764496140" r:id="rId2"/>
      </w:object>
    </w:r>
    <w:r w:rsidR="007C2B1C">
      <w:rPr>
        <w:rFonts w:ascii="Arial" w:hAnsi="Arial" w:cs="Arial"/>
        <w:noProof/>
        <w:sz w:val="18"/>
        <w:lang w:eastAsia="ca-ES"/>
      </w:rPr>
      <w:drawing>
        <wp:inline distT="0" distB="0" distL="0" distR="0" wp14:anchorId="6AD4A22C">
          <wp:extent cx="1274445" cy="883920"/>
          <wp:effectExtent l="0" t="0" r="1905" b="0"/>
          <wp:docPr id="7" name="Imagen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1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74445" cy="88392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00DA4" w:rsidRDefault="008F07C2">
    <w:pPr>
      <w:pStyle w:val="Encabezado"/>
      <w:spacing w:after="40"/>
      <w:ind w:left="3538"/>
      <w:jc w:val="right"/>
      <w:rPr>
        <w:rFonts w:ascii="Arial" w:hAnsi="Arial" w:cs="Arial"/>
        <w:sz w:val="20"/>
      </w:rPr>
    </w:pPr>
    <w:r>
      <w:rPr>
        <w:rFonts w:ascii="Arial" w:hAnsi="Arial" w:cs="Arial"/>
        <w:noProof/>
        <w:sz w:val="20"/>
      </w:rPr>
      <w:object w:dxaOrig="1440" w:dyaOrig="144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6" type="#_x0000_t75" style="position:absolute;left:0;text-align:left;margin-left:-18.95pt;margin-top:-1.1pt;width:102pt;height:51.2pt;z-index:251658240">
          <v:imagedata r:id="rId1" o:title=""/>
        </v:shape>
        <o:OLEObject Type="Embed" ProgID="MSPhotoEd.3" ShapeID="_x0000_s2056" DrawAspect="Content" ObjectID="_1764496141" r:id="rId2"/>
      </w:object>
    </w:r>
  </w:p>
  <w:p w:rsidR="00500DA4" w:rsidRDefault="00D657CB">
    <w:pPr>
      <w:pStyle w:val="Encabezado"/>
      <w:spacing w:after="40"/>
      <w:ind w:left="3538"/>
      <w:jc w:val="right"/>
      <w:rPr>
        <w:rFonts w:ascii="Calibri" w:hAnsi="Calibri"/>
        <w:sz w:val="22"/>
      </w:rPr>
    </w:pPr>
    <w:r>
      <w:rPr>
        <w:rFonts w:ascii="Calibri" w:hAnsi="Calibri"/>
        <w:noProof/>
        <w:sz w:val="22"/>
        <w:lang w:eastAsia="ca-ES"/>
      </w:rPr>
      <w:drawing>
        <wp:inline distT="0" distB="0" distL="0" distR="0" wp14:anchorId="68F166FA">
          <wp:extent cx="1280160" cy="883920"/>
          <wp:effectExtent l="0" t="0" r="0" b="0"/>
          <wp:docPr id="5" name="Imagen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9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80160" cy="88392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:rsidR="00500DA4" w:rsidRPr="00D657CB" w:rsidRDefault="00500DA4" w:rsidP="00D657CB">
    <w:pPr>
      <w:pStyle w:val="Encabezado"/>
      <w:tabs>
        <w:tab w:val="center" w:pos="4344"/>
        <w:tab w:val="center" w:pos="6154"/>
        <w:tab w:val="left" w:pos="7802"/>
      </w:tabs>
      <w:spacing w:after="80"/>
      <w:rPr>
        <w:rFonts w:ascii="Calibri" w:hAnsi="Calibri"/>
        <w:b/>
        <w:bCs/>
      </w:rPr>
    </w:pPr>
    <w:r>
      <w:rPr>
        <w:rFonts w:ascii="Calibri" w:hAnsi="Calibri"/>
        <w:b/>
        <w:bCs/>
        <w:sz w:val="18"/>
      </w:rPr>
      <w:t xml:space="preserve">                            </w:t>
    </w:r>
    <w:r>
      <w:rPr>
        <w:rFonts w:ascii="Calibri" w:hAnsi="Calibri"/>
        <w:b/>
        <w:bCs/>
      </w:rPr>
      <w:t xml:space="preserve">  </w:t>
    </w:r>
    <w:r w:rsidR="00D657CB">
      <w:rPr>
        <w:rFonts w:ascii="Calibri" w:hAnsi="Calibri"/>
        <w:b/>
        <w:bCs/>
      </w:rPr>
      <w:t xml:space="preserve">                     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51150E"/>
    <w:multiLevelType w:val="hybridMultilevel"/>
    <w:tmpl w:val="E1CE4FEC"/>
    <w:lvl w:ilvl="0" w:tplc="0C0A0017">
      <w:start w:val="1"/>
      <w:numFmt w:val="lowerLetter"/>
      <w:lvlText w:val="%1)"/>
      <w:lvlJc w:val="left"/>
      <w:pPr>
        <w:ind w:left="1428" w:hanging="360"/>
      </w:pPr>
    </w:lvl>
    <w:lvl w:ilvl="1" w:tplc="0C0A0019" w:tentative="1">
      <w:start w:val="1"/>
      <w:numFmt w:val="lowerLetter"/>
      <w:lvlText w:val="%2."/>
      <w:lvlJc w:val="left"/>
      <w:pPr>
        <w:ind w:left="2148" w:hanging="360"/>
      </w:pPr>
    </w:lvl>
    <w:lvl w:ilvl="2" w:tplc="0C0A001B" w:tentative="1">
      <w:start w:val="1"/>
      <w:numFmt w:val="lowerRoman"/>
      <w:lvlText w:val="%3."/>
      <w:lvlJc w:val="right"/>
      <w:pPr>
        <w:ind w:left="2868" w:hanging="180"/>
      </w:pPr>
    </w:lvl>
    <w:lvl w:ilvl="3" w:tplc="0C0A000F" w:tentative="1">
      <w:start w:val="1"/>
      <w:numFmt w:val="decimal"/>
      <w:lvlText w:val="%4."/>
      <w:lvlJc w:val="left"/>
      <w:pPr>
        <w:ind w:left="3588" w:hanging="360"/>
      </w:pPr>
    </w:lvl>
    <w:lvl w:ilvl="4" w:tplc="0C0A0019" w:tentative="1">
      <w:start w:val="1"/>
      <w:numFmt w:val="lowerLetter"/>
      <w:lvlText w:val="%5."/>
      <w:lvlJc w:val="left"/>
      <w:pPr>
        <w:ind w:left="4308" w:hanging="360"/>
      </w:pPr>
    </w:lvl>
    <w:lvl w:ilvl="5" w:tplc="0C0A001B" w:tentative="1">
      <w:start w:val="1"/>
      <w:numFmt w:val="lowerRoman"/>
      <w:lvlText w:val="%6."/>
      <w:lvlJc w:val="right"/>
      <w:pPr>
        <w:ind w:left="5028" w:hanging="180"/>
      </w:pPr>
    </w:lvl>
    <w:lvl w:ilvl="6" w:tplc="0C0A000F" w:tentative="1">
      <w:start w:val="1"/>
      <w:numFmt w:val="decimal"/>
      <w:lvlText w:val="%7."/>
      <w:lvlJc w:val="left"/>
      <w:pPr>
        <w:ind w:left="5748" w:hanging="360"/>
      </w:pPr>
    </w:lvl>
    <w:lvl w:ilvl="7" w:tplc="0C0A0019" w:tentative="1">
      <w:start w:val="1"/>
      <w:numFmt w:val="lowerLetter"/>
      <w:lvlText w:val="%8."/>
      <w:lvlJc w:val="left"/>
      <w:pPr>
        <w:ind w:left="6468" w:hanging="360"/>
      </w:pPr>
    </w:lvl>
    <w:lvl w:ilvl="8" w:tplc="0C0A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" w15:restartNumberingAfterBreak="0">
    <w:nsid w:val="0D5519F0"/>
    <w:multiLevelType w:val="hybridMultilevel"/>
    <w:tmpl w:val="9940BC8C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6B07FE2"/>
    <w:multiLevelType w:val="hybridMultilevel"/>
    <w:tmpl w:val="FA5C5EE0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16DE7F93"/>
    <w:multiLevelType w:val="hybridMultilevel"/>
    <w:tmpl w:val="1A72CF3A"/>
    <w:lvl w:ilvl="0" w:tplc="43488558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4A108C"/>
    <w:multiLevelType w:val="hybridMultilevel"/>
    <w:tmpl w:val="DC16DC40"/>
    <w:lvl w:ilvl="0" w:tplc="26D04CAE">
      <w:start w:val="1"/>
      <w:numFmt w:val="lowerLetter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17D7874"/>
    <w:multiLevelType w:val="hybridMultilevel"/>
    <w:tmpl w:val="767850F2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224E3206"/>
    <w:multiLevelType w:val="hybridMultilevel"/>
    <w:tmpl w:val="24682A58"/>
    <w:lvl w:ilvl="0" w:tplc="0403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06C5AC8"/>
    <w:multiLevelType w:val="hybridMultilevel"/>
    <w:tmpl w:val="9D4CD900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10412BC"/>
    <w:multiLevelType w:val="hybridMultilevel"/>
    <w:tmpl w:val="F9C82CF4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36FB66CD"/>
    <w:multiLevelType w:val="hybridMultilevel"/>
    <w:tmpl w:val="06F2BC4A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40C1757B"/>
    <w:multiLevelType w:val="hybridMultilevel"/>
    <w:tmpl w:val="00F65536"/>
    <w:lvl w:ilvl="0" w:tplc="EE2210BA">
      <w:start w:val="1"/>
      <w:numFmt w:val="lowerLetter"/>
      <w:lvlText w:val="%1)"/>
      <w:lvlJc w:val="left"/>
      <w:pPr>
        <w:ind w:left="606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326" w:hanging="360"/>
      </w:pPr>
    </w:lvl>
    <w:lvl w:ilvl="2" w:tplc="0403001B" w:tentative="1">
      <w:start w:val="1"/>
      <w:numFmt w:val="lowerRoman"/>
      <w:lvlText w:val="%3."/>
      <w:lvlJc w:val="right"/>
      <w:pPr>
        <w:ind w:left="2046" w:hanging="180"/>
      </w:pPr>
    </w:lvl>
    <w:lvl w:ilvl="3" w:tplc="0403000F" w:tentative="1">
      <w:start w:val="1"/>
      <w:numFmt w:val="decimal"/>
      <w:lvlText w:val="%4."/>
      <w:lvlJc w:val="left"/>
      <w:pPr>
        <w:ind w:left="2766" w:hanging="360"/>
      </w:pPr>
    </w:lvl>
    <w:lvl w:ilvl="4" w:tplc="04030019" w:tentative="1">
      <w:start w:val="1"/>
      <w:numFmt w:val="lowerLetter"/>
      <w:lvlText w:val="%5."/>
      <w:lvlJc w:val="left"/>
      <w:pPr>
        <w:ind w:left="3486" w:hanging="360"/>
      </w:pPr>
    </w:lvl>
    <w:lvl w:ilvl="5" w:tplc="0403001B" w:tentative="1">
      <w:start w:val="1"/>
      <w:numFmt w:val="lowerRoman"/>
      <w:lvlText w:val="%6."/>
      <w:lvlJc w:val="right"/>
      <w:pPr>
        <w:ind w:left="4206" w:hanging="180"/>
      </w:pPr>
    </w:lvl>
    <w:lvl w:ilvl="6" w:tplc="0403000F" w:tentative="1">
      <w:start w:val="1"/>
      <w:numFmt w:val="decimal"/>
      <w:lvlText w:val="%7."/>
      <w:lvlJc w:val="left"/>
      <w:pPr>
        <w:ind w:left="4926" w:hanging="360"/>
      </w:pPr>
    </w:lvl>
    <w:lvl w:ilvl="7" w:tplc="04030019" w:tentative="1">
      <w:start w:val="1"/>
      <w:numFmt w:val="lowerLetter"/>
      <w:lvlText w:val="%8."/>
      <w:lvlJc w:val="left"/>
      <w:pPr>
        <w:ind w:left="5646" w:hanging="360"/>
      </w:pPr>
    </w:lvl>
    <w:lvl w:ilvl="8" w:tplc="0403001B" w:tentative="1">
      <w:start w:val="1"/>
      <w:numFmt w:val="lowerRoman"/>
      <w:lvlText w:val="%9."/>
      <w:lvlJc w:val="right"/>
      <w:pPr>
        <w:ind w:left="6366" w:hanging="180"/>
      </w:pPr>
    </w:lvl>
  </w:abstractNum>
  <w:abstractNum w:abstractNumId="11" w15:restartNumberingAfterBreak="0">
    <w:nsid w:val="41DD7F2B"/>
    <w:multiLevelType w:val="hybridMultilevel"/>
    <w:tmpl w:val="2CC4CDD8"/>
    <w:lvl w:ilvl="0" w:tplc="0403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2BE3B61"/>
    <w:multiLevelType w:val="hybridMultilevel"/>
    <w:tmpl w:val="7980A884"/>
    <w:lvl w:ilvl="0" w:tplc="0C0A0017">
      <w:start w:val="1"/>
      <w:numFmt w:val="lowerLetter"/>
      <w:lvlText w:val="%1)"/>
      <w:lvlJc w:val="left"/>
      <w:pPr>
        <w:ind w:left="360" w:hanging="360"/>
      </w:p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455C0BE6"/>
    <w:multiLevelType w:val="hybridMultilevel"/>
    <w:tmpl w:val="34900748"/>
    <w:lvl w:ilvl="0" w:tplc="0C0A0017">
      <w:start w:val="1"/>
      <w:numFmt w:val="lowerLetter"/>
      <w:lvlText w:val="%1)"/>
      <w:lvlJc w:val="left"/>
      <w:pPr>
        <w:ind w:left="360" w:hanging="360"/>
      </w:p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4A7C43D0"/>
    <w:multiLevelType w:val="hybridMultilevel"/>
    <w:tmpl w:val="A73C4D6C"/>
    <w:lvl w:ilvl="0" w:tplc="0C0A0017">
      <w:start w:val="1"/>
      <w:numFmt w:val="lowerLetter"/>
      <w:lvlText w:val="%1)"/>
      <w:lvlJc w:val="left"/>
      <w:pPr>
        <w:ind w:left="360" w:hanging="360"/>
      </w:p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4CF17E97"/>
    <w:multiLevelType w:val="hybridMultilevel"/>
    <w:tmpl w:val="63FAF85E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DDD557E"/>
    <w:multiLevelType w:val="hybridMultilevel"/>
    <w:tmpl w:val="F8A6998A"/>
    <w:lvl w:ilvl="0" w:tplc="B09CD38A">
      <w:start w:val="37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A652EF9"/>
    <w:multiLevelType w:val="hybridMultilevel"/>
    <w:tmpl w:val="88826EBC"/>
    <w:lvl w:ilvl="0" w:tplc="0C0A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8" w15:restartNumberingAfterBreak="0">
    <w:nsid w:val="5CAC6E9B"/>
    <w:multiLevelType w:val="hybridMultilevel"/>
    <w:tmpl w:val="CA6ABBF2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D4B4A34"/>
    <w:multiLevelType w:val="hybridMultilevel"/>
    <w:tmpl w:val="28FCCD76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DDE4AD0"/>
    <w:multiLevelType w:val="multilevel"/>
    <w:tmpl w:val="8B944736"/>
    <w:lvl w:ilvl="0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1" w15:restartNumberingAfterBreak="0">
    <w:nsid w:val="60450DBA"/>
    <w:multiLevelType w:val="hybridMultilevel"/>
    <w:tmpl w:val="712C0744"/>
    <w:lvl w:ilvl="0" w:tplc="0C0A0017">
      <w:start w:val="1"/>
      <w:numFmt w:val="lowerLetter"/>
      <w:lvlText w:val="%1)"/>
      <w:lvlJc w:val="left"/>
      <w:pPr>
        <w:ind w:left="360" w:hanging="360"/>
      </w:p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646B2F33"/>
    <w:multiLevelType w:val="hybridMultilevel"/>
    <w:tmpl w:val="5A9C9C7C"/>
    <w:lvl w:ilvl="0" w:tplc="0C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5250727"/>
    <w:multiLevelType w:val="hybridMultilevel"/>
    <w:tmpl w:val="2C04F480"/>
    <w:lvl w:ilvl="0" w:tplc="738A1920">
      <w:start w:val="1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88F00F7"/>
    <w:multiLevelType w:val="hybridMultilevel"/>
    <w:tmpl w:val="677C69CC"/>
    <w:lvl w:ilvl="0" w:tplc="0C0A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5" w15:restartNumberingAfterBreak="0">
    <w:nsid w:val="692C7FD3"/>
    <w:multiLevelType w:val="hybridMultilevel"/>
    <w:tmpl w:val="798C52D6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6A771F99"/>
    <w:multiLevelType w:val="hybridMultilevel"/>
    <w:tmpl w:val="E4E49284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3BD5FAD"/>
    <w:multiLevelType w:val="hybridMultilevel"/>
    <w:tmpl w:val="801C3E88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CF64D96"/>
    <w:multiLevelType w:val="hybridMultilevel"/>
    <w:tmpl w:val="8CE231C4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</w:num>
  <w:num w:numId="2">
    <w:abstractNumId w:val="9"/>
  </w:num>
  <w:num w:numId="3">
    <w:abstractNumId w:val="26"/>
  </w:num>
  <w:num w:numId="4">
    <w:abstractNumId w:val="5"/>
  </w:num>
  <w:num w:numId="5">
    <w:abstractNumId w:val="24"/>
  </w:num>
  <w:num w:numId="6">
    <w:abstractNumId w:val="20"/>
  </w:num>
  <w:num w:numId="7">
    <w:abstractNumId w:val="1"/>
  </w:num>
  <w:num w:numId="8">
    <w:abstractNumId w:val="13"/>
  </w:num>
  <w:num w:numId="9">
    <w:abstractNumId w:val="14"/>
  </w:num>
  <w:num w:numId="10">
    <w:abstractNumId w:val="28"/>
  </w:num>
  <w:num w:numId="11">
    <w:abstractNumId w:val="12"/>
  </w:num>
  <w:num w:numId="12">
    <w:abstractNumId w:val="22"/>
  </w:num>
  <w:num w:numId="13">
    <w:abstractNumId w:val="18"/>
  </w:num>
  <w:num w:numId="14">
    <w:abstractNumId w:val="7"/>
  </w:num>
  <w:num w:numId="15">
    <w:abstractNumId w:val="15"/>
  </w:num>
  <w:num w:numId="16">
    <w:abstractNumId w:val="3"/>
  </w:num>
  <w:num w:numId="17">
    <w:abstractNumId w:val="0"/>
  </w:num>
  <w:num w:numId="18">
    <w:abstractNumId w:val="8"/>
  </w:num>
  <w:num w:numId="19">
    <w:abstractNumId w:val="17"/>
  </w:num>
  <w:num w:numId="20">
    <w:abstractNumId w:val="16"/>
  </w:num>
  <w:num w:numId="21">
    <w:abstractNumId w:val="6"/>
  </w:num>
  <w:num w:numId="22">
    <w:abstractNumId w:val="11"/>
  </w:num>
  <w:num w:numId="23">
    <w:abstractNumId w:val="4"/>
  </w:num>
  <w:num w:numId="24">
    <w:abstractNumId w:val="27"/>
  </w:num>
  <w:num w:numId="25">
    <w:abstractNumId w:val="21"/>
  </w:num>
  <w:num w:numId="26">
    <w:abstractNumId w:val="2"/>
  </w:num>
  <w:num w:numId="27">
    <w:abstractNumId w:val="19"/>
  </w:num>
  <w:num w:numId="28">
    <w:abstractNumId w:val="23"/>
  </w:num>
  <w:num w:numId="29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defaultTabStop w:val="708"/>
  <w:hyphenationZone w:val="425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57"/>
    <o:shapelayout v:ext="edit">
      <o:idmap v:ext="edit" data="2"/>
    </o:shapelayout>
  </w:hdrShapeDefaults>
  <w:footnotePr>
    <w:footnote w:id="-1"/>
    <w:footnote w:id="0"/>
  </w:footnotePr>
  <w:endnotePr>
    <w:numFmt w:val="decimal"/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0301"/>
    <w:rsid w:val="000034A0"/>
    <w:rsid w:val="00011CA3"/>
    <w:rsid w:val="00026260"/>
    <w:rsid w:val="00057EAC"/>
    <w:rsid w:val="00085671"/>
    <w:rsid w:val="000932EE"/>
    <w:rsid w:val="000A6AB5"/>
    <w:rsid w:val="000B0A4B"/>
    <w:rsid w:val="000C6296"/>
    <w:rsid w:val="000D3AB7"/>
    <w:rsid w:val="000D4F78"/>
    <w:rsid w:val="000D72E4"/>
    <w:rsid w:val="00106016"/>
    <w:rsid w:val="00115E2E"/>
    <w:rsid w:val="00117953"/>
    <w:rsid w:val="001275BC"/>
    <w:rsid w:val="0014546C"/>
    <w:rsid w:val="001649B1"/>
    <w:rsid w:val="001649D3"/>
    <w:rsid w:val="00192CA6"/>
    <w:rsid w:val="001A5EA2"/>
    <w:rsid w:val="001F6010"/>
    <w:rsid w:val="001F6673"/>
    <w:rsid w:val="002133E5"/>
    <w:rsid w:val="00215BE8"/>
    <w:rsid w:val="00216EF0"/>
    <w:rsid w:val="00222861"/>
    <w:rsid w:val="002265CD"/>
    <w:rsid w:val="00263EDE"/>
    <w:rsid w:val="002A11A4"/>
    <w:rsid w:val="002A673E"/>
    <w:rsid w:val="002B4C9B"/>
    <w:rsid w:val="002C0BF7"/>
    <w:rsid w:val="002C3084"/>
    <w:rsid w:val="002C610C"/>
    <w:rsid w:val="002D5D5F"/>
    <w:rsid w:val="002E4C37"/>
    <w:rsid w:val="003165BA"/>
    <w:rsid w:val="00322982"/>
    <w:rsid w:val="00327D7E"/>
    <w:rsid w:val="00360C2C"/>
    <w:rsid w:val="00371942"/>
    <w:rsid w:val="00392950"/>
    <w:rsid w:val="003A2427"/>
    <w:rsid w:val="003A5C31"/>
    <w:rsid w:val="003B3D21"/>
    <w:rsid w:val="003E6538"/>
    <w:rsid w:val="00401C5B"/>
    <w:rsid w:val="00406D7A"/>
    <w:rsid w:val="004427C1"/>
    <w:rsid w:val="00453962"/>
    <w:rsid w:val="004814EE"/>
    <w:rsid w:val="004977C6"/>
    <w:rsid w:val="004B0E87"/>
    <w:rsid w:val="004B17E7"/>
    <w:rsid w:val="004B66C5"/>
    <w:rsid w:val="004D48D5"/>
    <w:rsid w:val="004E7416"/>
    <w:rsid w:val="00500A0B"/>
    <w:rsid w:val="00500DA4"/>
    <w:rsid w:val="00506F67"/>
    <w:rsid w:val="00514AA5"/>
    <w:rsid w:val="005303D9"/>
    <w:rsid w:val="00535370"/>
    <w:rsid w:val="00571B05"/>
    <w:rsid w:val="0057302F"/>
    <w:rsid w:val="005B6EA7"/>
    <w:rsid w:val="005C022D"/>
    <w:rsid w:val="006006D0"/>
    <w:rsid w:val="00623C51"/>
    <w:rsid w:val="00643E6F"/>
    <w:rsid w:val="00647B83"/>
    <w:rsid w:val="00651AE7"/>
    <w:rsid w:val="00680F9A"/>
    <w:rsid w:val="006A76BD"/>
    <w:rsid w:val="006A778E"/>
    <w:rsid w:val="006C67FD"/>
    <w:rsid w:val="00700629"/>
    <w:rsid w:val="0070198F"/>
    <w:rsid w:val="00707B72"/>
    <w:rsid w:val="007179FE"/>
    <w:rsid w:val="00722A76"/>
    <w:rsid w:val="00750885"/>
    <w:rsid w:val="0079467E"/>
    <w:rsid w:val="007A10DD"/>
    <w:rsid w:val="007C2B1C"/>
    <w:rsid w:val="007F5DA2"/>
    <w:rsid w:val="00811F97"/>
    <w:rsid w:val="00812BA2"/>
    <w:rsid w:val="00834860"/>
    <w:rsid w:val="00857993"/>
    <w:rsid w:val="008D61D8"/>
    <w:rsid w:val="008E258C"/>
    <w:rsid w:val="008E79F0"/>
    <w:rsid w:val="00907C1C"/>
    <w:rsid w:val="00923329"/>
    <w:rsid w:val="00924733"/>
    <w:rsid w:val="009250F0"/>
    <w:rsid w:val="00997AFA"/>
    <w:rsid w:val="009A14EA"/>
    <w:rsid w:val="009A1BED"/>
    <w:rsid w:val="009B5DE5"/>
    <w:rsid w:val="009C5E1C"/>
    <w:rsid w:val="009C75A9"/>
    <w:rsid w:val="00A04642"/>
    <w:rsid w:val="00A06B7B"/>
    <w:rsid w:val="00A16C2D"/>
    <w:rsid w:val="00A4429F"/>
    <w:rsid w:val="00A57BB9"/>
    <w:rsid w:val="00A73E5B"/>
    <w:rsid w:val="00A74FCA"/>
    <w:rsid w:val="00A802B9"/>
    <w:rsid w:val="00A8157D"/>
    <w:rsid w:val="00A90780"/>
    <w:rsid w:val="00AF1935"/>
    <w:rsid w:val="00AF286E"/>
    <w:rsid w:val="00B356D1"/>
    <w:rsid w:val="00B36071"/>
    <w:rsid w:val="00B44132"/>
    <w:rsid w:val="00B47DFC"/>
    <w:rsid w:val="00B5152D"/>
    <w:rsid w:val="00B70486"/>
    <w:rsid w:val="00B72434"/>
    <w:rsid w:val="00B84640"/>
    <w:rsid w:val="00B855DA"/>
    <w:rsid w:val="00B90F34"/>
    <w:rsid w:val="00B92271"/>
    <w:rsid w:val="00BB2731"/>
    <w:rsid w:val="00BB2884"/>
    <w:rsid w:val="00BC039D"/>
    <w:rsid w:val="00BC1929"/>
    <w:rsid w:val="00BD04A4"/>
    <w:rsid w:val="00BD1D85"/>
    <w:rsid w:val="00BD2C76"/>
    <w:rsid w:val="00BD3588"/>
    <w:rsid w:val="00BE17EE"/>
    <w:rsid w:val="00C07D2A"/>
    <w:rsid w:val="00C2292B"/>
    <w:rsid w:val="00C53255"/>
    <w:rsid w:val="00C66FC7"/>
    <w:rsid w:val="00C67DA6"/>
    <w:rsid w:val="00C95093"/>
    <w:rsid w:val="00CB623C"/>
    <w:rsid w:val="00CD492B"/>
    <w:rsid w:val="00CF1595"/>
    <w:rsid w:val="00D006D1"/>
    <w:rsid w:val="00D24377"/>
    <w:rsid w:val="00D6162F"/>
    <w:rsid w:val="00D657CB"/>
    <w:rsid w:val="00D74F38"/>
    <w:rsid w:val="00D8780A"/>
    <w:rsid w:val="00E00301"/>
    <w:rsid w:val="00E11C27"/>
    <w:rsid w:val="00E22D69"/>
    <w:rsid w:val="00E24204"/>
    <w:rsid w:val="00E4721B"/>
    <w:rsid w:val="00E56997"/>
    <w:rsid w:val="00E609DD"/>
    <w:rsid w:val="00E6784E"/>
    <w:rsid w:val="00E92328"/>
    <w:rsid w:val="00ED363C"/>
    <w:rsid w:val="00EE2FA4"/>
    <w:rsid w:val="00EF7D3E"/>
    <w:rsid w:val="00F01A8C"/>
    <w:rsid w:val="00F0316F"/>
    <w:rsid w:val="00F159FB"/>
    <w:rsid w:val="00F32873"/>
    <w:rsid w:val="00F4102A"/>
    <w:rsid w:val="00F411EC"/>
    <w:rsid w:val="00F64BE4"/>
    <w:rsid w:val="00F67FC8"/>
    <w:rsid w:val="00F71BAC"/>
    <w:rsid w:val="00F86AAE"/>
    <w:rsid w:val="00F92286"/>
    <w:rsid w:val="00FC0A29"/>
    <w:rsid w:val="00FF40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7"/>
    <o:shapelayout v:ext="edit">
      <o:idmap v:ext="edit" data="1"/>
    </o:shapelayout>
  </w:shapeDefaults>
  <w:decimalSymbol w:val=","/>
  <w:listSeparator w:val=";"/>
  <w15:chartTrackingRefBased/>
  <w15:docId w15:val="{D13AF714-6E4C-4545-B6B0-F37A9CF6E3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  <w:lang w:val="ca-ES"/>
    </w:rPr>
  </w:style>
  <w:style w:type="paragraph" w:styleId="Ttulo1">
    <w:name w:val="heading 1"/>
    <w:basedOn w:val="Normal"/>
    <w:next w:val="Normal"/>
    <w:qFormat/>
    <w:pPr>
      <w:keepNext/>
      <w:jc w:val="both"/>
      <w:outlineLvl w:val="0"/>
    </w:pPr>
    <w:rPr>
      <w:rFonts w:ascii="Arial" w:hAnsi="Arial" w:cs="Arial"/>
      <w:bCs/>
      <w:color w:val="000000"/>
      <w:spacing w:val="-2"/>
      <w:sz w:val="20"/>
      <w:u w:val="single"/>
    </w:rPr>
  </w:style>
  <w:style w:type="paragraph" w:styleId="Ttulo2">
    <w:name w:val="heading 2"/>
    <w:basedOn w:val="Normal"/>
    <w:next w:val="Normal"/>
    <w:qFormat/>
    <w:pPr>
      <w:keepNext/>
      <w:jc w:val="both"/>
      <w:outlineLvl w:val="1"/>
    </w:pPr>
    <w:rPr>
      <w:rFonts w:ascii="Arial" w:hAnsi="Arial" w:cs="Arial"/>
      <w:b/>
      <w:bCs/>
      <w:sz w:val="22"/>
    </w:rPr>
  </w:style>
  <w:style w:type="paragraph" w:styleId="Ttulo3">
    <w:name w:val="heading 3"/>
    <w:basedOn w:val="Normal"/>
    <w:next w:val="Normal"/>
    <w:qFormat/>
    <w:pPr>
      <w:keepNext/>
      <w:jc w:val="both"/>
      <w:outlineLvl w:val="2"/>
    </w:pPr>
    <w:rPr>
      <w:rFonts w:ascii="Arial" w:hAnsi="Arial" w:cs="Arial"/>
      <w:b/>
      <w:bCs/>
      <w:sz w:val="20"/>
    </w:rPr>
  </w:style>
  <w:style w:type="paragraph" w:styleId="Ttulo4">
    <w:name w:val="heading 4"/>
    <w:basedOn w:val="Normal"/>
    <w:next w:val="Normal"/>
    <w:qFormat/>
    <w:pPr>
      <w:keepNext/>
      <w:jc w:val="both"/>
      <w:outlineLvl w:val="3"/>
    </w:pPr>
    <w:rPr>
      <w:rFonts w:ascii="Arial" w:hAnsi="Arial" w:cs="Arial"/>
      <w:b/>
      <w:bCs/>
      <w:color w:val="000000"/>
      <w:spacing w:val="-2"/>
      <w:sz w:val="20"/>
    </w:rPr>
  </w:style>
  <w:style w:type="paragraph" w:styleId="Ttulo5">
    <w:name w:val="heading 5"/>
    <w:basedOn w:val="Normal"/>
    <w:next w:val="Normal"/>
    <w:qFormat/>
    <w:pPr>
      <w:keepNext/>
      <w:jc w:val="center"/>
      <w:outlineLvl w:val="4"/>
    </w:pPr>
    <w:rPr>
      <w:rFonts w:ascii="Arial" w:hAnsi="Arial" w:cs="Arial"/>
      <w:b/>
      <w:bCs/>
      <w:color w:val="000000"/>
      <w:spacing w:val="-2"/>
      <w:sz w:val="20"/>
      <w:u w:val="single"/>
    </w:rPr>
  </w:style>
  <w:style w:type="paragraph" w:styleId="Ttulo6">
    <w:name w:val="heading 6"/>
    <w:basedOn w:val="Normal"/>
    <w:next w:val="Normal"/>
    <w:qFormat/>
    <w:pPr>
      <w:keepNext/>
      <w:jc w:val="center"/>
      <w:outlineLvl w:val="5"/>
    </w:pPr>
    <w:rPr>
      <w:rFonts w:ascii="Arial" w:hAnsi="Arial" w:cs="Arial"/>
      <w:b/>
      <w:color w:val="000000"/>
      <w:sz w:val="20"/>
    </w:rPr>
  </w:style>
  <w:style w:type="paragraph" w:styleId="Ttulo7">
    <w:name w:val="heading 7"/>
    <w:basedOn w:val="Normal"/>
    <w:next w:val="Normal"/>
    <w:qFormat/>
    <w:pPr>
      <w:keepNext/>
      <w:outlineLvl w:val="6"/>
    </w:pPr>
    <w:rPr>
      <w:rFonts w:ascii="Arial" w:hAnsi="Arial" w:cs="Arial"/>
      <w:b/>
      <w:bCs/>
      <w:sz w:val="22"/>
    </w:rPr>
  </w:style>
  <w:style w:type="paragraph" w:styleId="Ttulo8">
    <w:name w:val="heading 8"/>
    <w:basedOn w:val="Normal"/>
    <w:next w:val="Normal"/>
    <w:qFormat/>
    <w:pPr>
      <w:keepNext/>
      <w:jc w:val="both"/>
      <w:outlineLvl w:val="7"/>
    </w:pPr>
    <w:rPr>
      <w:rFonts w:ascii="Arial" w:hAnsi="Arial" w:cs="Arial"/>
      <w:b/>
      <w:caps/>
      <w:color w:val="0000FF"/>
      <w:spacing w:val="-3"/>
      <w:sz w:val="20"/>
    </w:rPr>
  </w:style>
  <w:style w:type="paragraph" w:styleId="Ttulo9">
    <w:name w:val="heading 9"/>
    <w:basedOn w:val="Normal"/>
    <w:next w:val="Normal"/>
    <w:qFormat/>
    <w:pPr>
      <w:keepNext/>
      <w:outlineLvl w:val="8"/>
    </w:pPr>
    <w:rPr>
      <w:rFonts w:ascii="Arial" w:hAnsi="Arial" w:cs="Arial"/>
      <w:b/>
      <w:noProof/>
      <w:sz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Sangra3detindependiente">
    <w:name w:val="Body Text Indent 3"/>
    <w:basedOn w:val="Normal"/>
    <w:semiHidden/>
    <w:pPr>
      <w:ind w:left="360"/>
      <w:jc w:val="both"/>
    </w:pPr>
    <w:rPr>
      <w:i/>
      <w:iCs/>
    </w:rPr>
  </w:style>
  <w:style w:type="paragraph" w:styleId="Textoindependiente2">
    <w:name w:val="Body Text 2"/>
    <w:basedOn w:val="Normal"/>
    <w:semiHidden/>
    <w:pPr>
      <w:tabs>
        <w:tab w:val="left" w:pos="-1440"/>
        <w:tab w:val="left" w:pos="-720"/>
        <w:tab w:val="left" w:pos="0"/>
        <w:tab w:val="left" w:pos="284"/>
        <w:tab w:val="left" w:pos="720"/>
      </w:tabs>
      <w:jc w:val="both"/>
    </w:pPr>
    <w:rPr>
      <w:spacing w:val="-2"/>
      <w:szCs w:val="20"/>
    </w:rPr>
  </w:style>
  <w:style w:type="paragraph" w:styleId="Textoindependiente">
    <w:name w:val="Body Text"/>
    <w:basedOn w:val="Normal"/>
    <w:link w:val="TextoindependienteCar"/>
    <w:semiHidden/>
    <w:pPr>
      <w:tabs>
        <w:tab w:val="left" w:pos="-1440"/>
        <w:tab w:val="left" w:pos="-720"/>
        <w:tab w:val="left" w:pos="0"/>
        <w:tab w:val="left" w:pos="288"/>
        <w:tab w:val="left" w:pos="720"/>
      </w:tabs>
      <w:jc w:val="both"/>
    </w:pPr>
    <w:rPr>
      <w:i/>
      <w:spacing w:val="-2"/>
      <w:szCs w:val="20"/>
    </w:rPr>
  </w:style>
  <w:style w:type="paragraph" w:styleId="Sangra2detindependiente">
    <w:name w:val="Body Text Indent 2"/>
    <w:basedOn w:val="Normal"/>
    <w:semiHidden/>
    <w:pPr>
      <w:ind w:left="987"/>
    </w:pPr>
    <w:rPr>
      <w:rFonts w:ascii="Garamond" w:hAnsi="Garamond"/>
    </w:rPr>
  </w:style>
  <w:style w:type="paragraph" w:styleId="Sangradetextonormal">
    <w:name w:val="Body Text Indent"/>
    <w:basedOn w:val="Normal"/>
    <w:semiHidden/>
    <w:pPr>
      <w:ind w:left="987"/>
      <w:jc w:val="both"/>
    </w:pPr>
    <w:rPr>
      <w:rFonts w:ascii="Garamond" w:hAnsi="Garamond"/>
      <w:color w:val="0000FF"/>
    </w:rPr>
  </w:style>
  <w:style w:type="paragraph" w:styleId="Textoindependiente3">
    <w:name w:val="Body Text 3"/>
    <w:basedOn w:val="Normal"/>
    <w:semiHidden/>
    <w:pPr>
      <w:tabs>
        <w:tab w:val="left" w:pos="-720"/>
      </w:tabs>
      <w:suppressAutoHyphens/>
      <w:jc w:val="both"/>
      <w:outlineLvl w:val="0"/>
    </w:pPr>
    <w:rPr>
      <w:b/>
      <w:spacing w:val="-3"/>
      <w:szCs w:val="20"/>
      <w:u w:val="single"/>
    </w:rPr>
  </w:style>
  <w:style w:type="character" w:styleId="Nmerodepgina">
    <w:name w:val="page number"/>
    <w:basedOn w:val="Fuentedeprrafopredeter"/>
    <w:semiHidden/>
  </w:style>
  <w:style w:type="paragraph" w:styleId="Piedepgina">
    <w:name w:val="footer"/>
    <w:basedOn w:val="Normal"/>
    <w:semiHidden/>
    <w:pPr>
      <w:tabs>
        <w:tab w:val="center" w:pos="4252"/>
        <w:tab w:val="right" w:pos="8504"/>
      </w:tabs>
    </w:pPr>
  </w:style>
  <w:style w:type="paragraph" w:styleId="Encabezado">
    <w:name w:val="header"/>
    <w:basedOn w:val="Normal"/>
    <w:semiHidden/>
    <w:pPr>
      <w:tabs>
        <w:tab w:val="center" w:pos="4252"/>
        <w:tab w:val="right" w:pos="8504"/>
      </w:tabs>
    </w:pPr>
  </w:style>
  <w:style w:type="character" w:styleId="Hipervnculo">
    <w:name w:val="Hyperlink"/>
    <w:uiPriority w:val="99"/>
    <w:rPr>
      <w:color w:val="0000FF"/>
      <w:u w:val="single"/>
    </w:rPr>
  </w:style>
  <w:style w:type="character" w:styleId="Hipervnculovisitado">
    <w:name w:val="FollowedHyperlink"/>
    <w:semiHidden/>
    <w:rPr>
      <w:color w:val="800080"/>
      <w:u w:val="single"/>
    </w:rPr>
  </w:style>
  <w:style w:type="paragraph" w:styleId="NormalWeb">
    <w:name w:val="Normal (Web)"/>
    <w:basedOn w:val="Normal"/>
    <w:semiHidden/>
    <w:pPr>
      <w:spacing w:before="100" w:after="100"/>
    </w:pPr>
    <w:rPr>
      <w:color w:val="0000FF"/>
      <w:szCs w:val="20"/>
    </w:rPr>
  </w:style>
  <w:style w:type="paragraph" w:customStyle="1" w:styleId="a">
    <w:name w:val=".."/>
    <w:basedOn w:val="Normal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szCs w:val="20"/>
    </w:rPr>
  </w:style>
  <w:style w:type="paragraph" w:styleId="Textonotaalfinal">
    <w:name w:val="endnote text"/>
    <w:basedOn w:val="Normal"/>
    <w:link w:val="TextonotaalfinalCar"/>
    <w:semiHidden/>
    <w:pPr>
      <w:jc w:val="both"/>
    </w:pPr>
    <w:rPr>
      <w:rFonts w:ascii="Arial" w:hAnsi="Arial"/>
      <w:sz w:val="20"/>
      <w:szCs w:val="20"/>
    </w:rPr>
  </w:style>
  <w:style w:type="character" w:styleId="Refdenotaalfinal">
    <w:name w:val="endnote reference"/>
    <w:semiHidden/>
    <w:rPr>
      <w:vertAlign w:val="superscript"/>
    </w:rPr>
  </w:style>
  <w:style w:type="paragraph" w:styleId="Textonotapie">
    <w:name w:val="footnote text"/>
    <w:basedOn w:val="Normal"/>
    <w:semiHidden/>
    <w:rPr>
      <w:sz w:val="20"/>
      <w:szCs w:val="20"/>
    </w:rPr>
  </w:style>
  <w:style w:type="character" w:styleId="Refdenotaalpie">
    <w:name w:val="footnote reference"/>
    <w:semiHidden/>
    <w:rPr>
      <w:vertAlign w:val="superscript"/>
    </w:rPr>
  </w:style>
  <w:style w:type="character" w:customStyle="1" w:styleId="cos">
    <w:name w:val="cos"/>
    <w:basedOn w:val="Fuentedeprrafopredeter"/>
  </w:style>
  <w:style w:type="paragraph" w:customStyle="1" w:styleId="parrafo">
    <w:name w:val="parrafo"/>
    <w:basedOn w:val="Normal"/>
    <w:pPr>
      <w:spacing w:before="100" w:beforeAutospacing="1" w:after="100" w:afterAutospacing="1"/>
    </w:pPr>
    <w:rPr>
      <w:rFonts w:ascii="Arial Unicode MS" w:eastAsia="Arial Unicode MS" w:hAnsi="Arial Unicode MS" w:cs="Arial Unicode MS"/>
      <w:lang w:val="es-ES"/>
    </w:rPr>
  </w:style>
  <w:style w:type="paragraph" w:styleId="Puesto">
    <w:name w:val="Title"/>
    <w:basedOn w:val="Normal"/>
    <w:qFormat/>
    <w:pPr>
      <w:jc w:val="center"/>
    </w:pPr>
    <w:rPr>
      <w:rFonts w:ascii="Arial" w:hAnsi="Arial" w:cs="Arial"/>
      <w:b/>
      <w:noProof/>
      <w:sz w:val="22"/>
      <w:u w:val="single"/>
    </w:rPr>
  </w:style>
  <w:style w:type="character" w:styleId="Refdecomentario">
    <w:name w:val="annotation reference"/>
    <w:uiPriority w:val="99"/>
    <w:unhideWhenUsed/>
    <w:rsid w:val="002A673E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2A673E"/>
    <w:rPr>
      <w:sz w:val="20"/>
      <w:szCs w:val="20"/>
      <w:lang w:val="x-none"/>
    </w:rPr>
  </w:style>
  <w:style w:type="character" w:customStyle="1" w:styleId="TextocomentarioCar">
    <w:name w:val="Texto comentario Car"/>
    <w:link w:val="Textocomentario"/>
    <w:uiPriority w:val="99"/>
    <w:rsid w:val="002A673E"/>
    <w:rPr>
      <w:lang w:val="x-none" w:eastAsia="es-ES"/>
    </w:rPr>
  </w:style>
  <w:style w:type="paragraph" w:customStyle="1" w:styleId="Default">
    <w:name w:val="Default"/>
    <w:rsid w:val="002A673E"/>
    <w:pPr>
      <w:autoSpaceDE w:val="0"/>
      <w:autoSpaceDN w:val="0"/>
      <w:adjustRightInd w:val="0"/>
    </w:pPr>
    <w:rPr>
      <w:rFonts w:ascii="Arial Unicode MS" w:eastAsia="Arial Unicode MS" w:cs="Arial Unicode MS"/>
      <w:color w:val="000000"/>
      <w:sz w:val="24"/>
      <w:szCs w:val="24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2A673E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link w:val="Textodeglobo"/>
    <w:uiPriority w:val="99"/>
    <w:semiHidden/>
    <w:rsid w:val="002A673E"/>
    <w:rPr>
      <w:rFonts w:ascii="Segoe UI" w:hAnsi="Segoe UI" w:cs="Segoe UI"/>
      <w:sz w:val="18"/>
      <w:szCs w:val="18"/>
      <w:lang w:eastAsia="es-ES"/>
    </w:rPr>
  </w:style>
  <w:style w:type="character" w:customStyle="1" w:styleId="TextonotaalfinalCar">
    <w:name w:val="Texto nota al final Car"/>
    <w:link w:val="Textonotaalfinal"/>
    <w:semiHidden/>
    <w:rsid w:val="00401C5B"/>
    <w:rPr>
      <w:rFonts w:ascii="Arial" w:hAnsi="Arial"/>
      <w:lang w:eastAsia="es-ES"/>
    </w:rPr>
  </w:style>
  <w:style w:type="paragraph" w:styleId="Prrafodelista">
    <w:name w:val="List Paragraph"/>
    <w:basedOn w:val="Normal"/>
    <w:uiPriority w:val="34"/>
    <w:qFormat/>
    <w:rsid w:val="00401C5B"/>
    <w:pPr>
      <w:ind w:left="708"/>
    </w:pPr>
  </w:style>
  <w:style w:type="character" w:customStyle="1" w:styleId="TextoindependienteCar">
    <w:name w:val="Texto independiente Car"/>
    <w:link w:val="Textoindependiente"/>
    <w:semiHidden/>
    <w:rsid w:val="00A802B9"/>
    <w:rPr>
      <w:i/>
      <w:spacing w:val="-2"/>
      <w:sz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2.png"/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oleObject" Target="embeddings/oleObject2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69AE87D-296C-4A00-9A3D-D2BF782A2C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570</Words>
  <Characters>3249</Characters>
  <Application>Microsoft Office Word</Application>
  <DocSecurity>0</DocSecurity>
  <Lines>27</Lines>
  <Paragraphs>7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Títol</vt:lpstr>
      </vt:variant>
      <vt:variant>
        <vt:i4>1</vt:i4>
      </vt:variant>
    </vt:vector>
  </HeadingPairs>
  <TitlesOfParts>
    <vt:vector size="2" baseType="lpstr">
      <vt:lpstr>PLEC DE CLÀUSULES ADMINISTRATIVES PARTICULARS “TIPUS” REGULADORES DE LA CONTRACTACIÓ D'OBRES LOCALS DE (O INCLOSES AL PROJECTE</vt:lpstr>
      <vt:lpstr>PLEC DE CLÀUSULES ADMINISTRATIVES PARTICULARS “TIPUS” REGULADORES DE LA CONTRACTACIÓ D'OBRES LOCALS DE (O INCLOSES AL PROJECTE</vt:lpstr>
    </vt:vector>
  </TitlesOfParts>
  <Company>Ajuntament de Sabadell</Company>
  <LinksUpToDate>false</LinksUpToDate>
  <CharactersWithSpaces>3812</CharactersWithSpaces>
  <SharedDoc>false</SharedDoc>
  <HLinks>
    <vt:vector size="30" baseType="variant">
      <vt:variant>
        <vt:i4>2228344</vt:i4>
      </vt:variant>
      <vt:variant>
        <vt:i4>12</vt:i4>
      </vt:variant>
      <vt:variant>
        <vt:i4>0</vt:i4>
      </vt:variant>
      <vt:variant>
        <vt:i4>5</vt:i4>
      </vt:variant>
      <vt:variant>
        <vt:lpwstr>https://pixelware.com/servicios-soporte-licitadores-requisitos-minimos/</vt:lpwstr>
      </vt:variant>
      <vt:variant>
        <vt:lpwstr/>
      </vt:variant>
      <vt:variant>
        <vt:i4>5832790</vt:i4>
      </vt:variant>
      <vt:variant>
        <vt:i4>9</vt:i4>
      </vt:variant>
      <vt:variant>
        <vt:i4>0</vt:i4>
      </vt:variant>
      <vt:variant>
        <vt:i4>5</vt:i4>
      </vt:variant>
      <vt:variant>
        <vt:lpwstr>https://pixelware.com/servicios-soporte-licitadores/</vt:lpwstr>
      </vt:variant>
      <vt:variant>
        <vt:lpwstr/>
      </vt:variant>
      <vt:variant>
        <vt:i4>2293806</vt:i4>
      </vt:variant>
      <vt:variant>
        <vt:i4>6</vt:i4>
      </vt:variant>
      <vt:variant>
        <vt:i4>0</vt:i4>
      </vt:variant>
      <vt:variant>
        <vt:i4>5</vt:i4>
      </vt:variant>
      <vt:variant>
        <vt:lpwstr>https://seu.sabadell.cat/opensiac/action/certlogin?method=enter</vt:lpwstr>
      </vt:variant>
      <vt:variant>
        <vt:lpwstr/>
      </vt:variant>
      <vt:variant>
        <vt:i4>720910</vt:i4>
      </vt:variant>
      <vt:variant>
        <vt:i4>3</vt:i4>
      </vt:variant>
      <vt:variant>
        <vt:i4>0</vt:i4>
      </vt:variant>
      <vt:variant>
        <vt:i4>5</vt:i4>
      </vt:variant>
      <vt:variant>
        <vt:lpwstr>https://contractacio.ajsabadell.cat/</vt:lpwstr>
      </vt:variant>
      <vt:variant>
        <vt:lpwstr/>
      </vt:variant>
      <vt:variant>
        <vt:i4>5242977</vt:i4>
      </vt:variant>
      <vt:variant>
        <vt:i4>0</vt:i4>
      </vt:variant>
      <vt:variant>
        <vt:i4>0</vt:i4>
      </vt:variant>
      <vt:variant>
        <vt:i4>5</vt:i4>
      </vt:variant>
      <vt:variant>
        <vt:lpwstr>https://contractaciopublica.gencat.cat/ecofin_pscp/AppJava/cap.pscp?reqCode=viewDetail&amp;keyword=Ajuntament+de+Sabadell&amp;idCap=28279948&amp;ambit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ADMINISTRATIVES PARTICULARS “TIPUS” REGULADORES DE LA CONTRACTACIÓ D'OBRES LOCALS DE (O INCLOSES AL PROJECTE</dc:title>
  <dc:subject/>
  <dc:creator>Informàtica</dc:creator>
  <cp:keywords/>
  <cp:lastModifiedBy>Llevot F Oriol  OBRES</cp:lastModifiedBy>
  <cp:revision>2</cp:revision>
  <cp:lastPrinted>2018-03-08T13:55:00Z</cp:lastPrinted>
  <dcterms:created xsi:type="dcterms:W3CDTF">2023-12-19T12:02:00Z</dcterms:created>
  <dcterms:modified xsi:type="dcterms:W3CDTF">2023-12-19T12:02:00Z</dcterms:modified>
</cp:coreProperties>
</file>