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7749" w:val="left" w:leader="none"/>
        </w:tabs>
        <w:ind w:left="111"/>
        <w:rPr>
          <w:rFonts w:ascii="Times New Roman"/>
        </w:rPr>
      </w:pPr>
      <w:r>
        <w:rPr>
          <w:rFonts w:ascii="Times New Roman"/>
          <w:position w:val="33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3"/>
        </w:rPr>
      </w:r>
      <w:r>
        <w:rPr>
          <w:rFonts w:ascii="Times New Roman"/>
          <w:position w:val="33"/>
        </w:rPr>
        <w:tab/>
      </w:r>
      <w:r>
        <w:rPr>
          <w:rFonts w:ascii="Times New Roman"/>
        </w:rPr>
        <w:drawing>
          <wp:inline distT="0" distB="0" distL="0" distR="0">
            <wp:extent cx="1263673" cy="68275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7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"/>
        <w:rPr>
          <w:rFonts w:ascii="Times New Roman"/>
          <w:sz w:val="13"/>
        </w:rPr>
      </w:pPr>
    </w:p>
    <w:p>
      <w:pPr>
        <w:pStyle w:val="Title"/>
        <w:rPr>
          <w:u w:val="none"/>
        </w:rPr>
      </w:pPr>
      <w:r>
        <w:rPr>
          <w:u w:val="thick"/>
        </w:rPr>
        <w:t>ANNEX</w:t>
      </w:r>
      <w:r>
        <w:rPr>
          <w:spacing w:val="48"/>
          <w:u w:val="thick"/>
        </w:rPr>
        <w:t> </w:t>
      </w:r>
      <w:r>
        <w:rPr>
          <w:u w:val="thick"/>
        </w:rPr>
        <w:t>4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380" w:right="0" w:firstLine="0"/>
        <w:jc w:val="left"/>
        <w:rPr>
          <w:sz w:val="22"/>
        </w:rPr>
      </w:pPr>
      <w:r>
        <w:rPr>
          <w:sz w:val="22"/>
        </w:rPr>
        <w:t>A.</w:t>
      </w:r>
      <w:r>
        <w:rPr>
          <w:spacing w:val="-2"/>
          <w:sz w:val="22"/>
        </w:rPr>
        <w:t> </w:t>
      </w:r>
      <w:r>
        <w:rPr>
          <w:sz w:val="22"/>
        </w:rPr>
        <w:t>MODEL</w:t>
      </w:r>
      <w:r>
        <w:rPr>
          <w:spacing w:val="-1"/>
          <w:sz w:val="22"/>
        </w:rPr>
        <w:t> </w:t>
      </w:r>
      <w:r>
        <w:rPr>
          <w:sz w:val="22"/>
        </w:rPr>
        <w:t>D’OFERTA</w:t>
      </w:r>
      <w:r>
        <w:rPr>
          <w:spacing w:val="-2"/>
          <w:sz w:val="22"/>
        </w:rPr>
        <w:t> </w:t>
      </w:r>
      <w:r>
        <w:rPr>
          <w:sz w:val="22"/>
        </w:rPr>
        <w:t>ECONÒMICA</w:t>
      </w:r>
      <w:r>
        <w:rPr>
          <w:spacing w:val="-2"/>
          <w:sz w:val="22"/>
        </w:rPr>
        <w:t> </w:t>
      </w:r>
      <w:r>
        <w:rPr>
          <w:sz w:val="22"/>
        </w:rPr>
        <w:t>GENERAL</w:t>
      </w:r>
    </w:p>
    <w:p>
      <w:pPr>
        <w:pStyle w:val="BodyText"/>
        <w:rPr>
          <w:sz w:val="24"/>
        </w:rPr>
      </w:pPr>
    </w:p>
    <w:p>
      <w:pPr>
        <w:pStyle w:val="BodyText"/>
        <w:tabs>
          <w:tab w:pos="1795" w:val="left" w:leader="none"/>
          <w:tab w:pos="5335" w:val="left" w:leader="none"/>
        </w:tabs>
        <w:spacing w:before="184"/>
        <w:ind w:left="380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1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 de</w:t>
        <w:tab/>
        <w:t>i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representació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societat</w:t>
      </w:r>
    </w:p>
    <w:p>
      <w:pPr>
        <w:pStyle w:val="BodyText"/>
        <w:tabs>
          <w:tab w:pos="3919" w:val="left" w:leader="none"/>
          <w:tab w:pos="5335" w:val="left" w:leader="none"/>
          <w:tab w:pos="6752" w:val="left" w:leader="none"/>
        </w:tabs>
        <w:ind w:left="380" w:right="118" w:firstLine="708"/>
        <w:jc w:val="both"/>
      </w:pPr>
      <w:r>
        <w:rPr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domiciliada</w:t>
      </w:r>
      <w:r>
        <w:rPr>
          <w:spacing w:val="-2"/>
        </w:rPr>
        <w:t> </w:t>
      </w:r>
      <w:r>
        <w:rPr/>
        <w:t>a</w:t>
        <w:tab/>
        <w:tab/>
        <w:t>,</w:t>
      </w:r>
      <w:r>
        <w:rPr>
          <w:spacing w:val="31"/>
        </w:rPr>
        <w:t> </w:t>
      </w:r>
      <w:r>
        <w:rPr/>
        <w:t>segons</w:t>
      </w:r>
      <w:r>
        <w:rPr>
          <w:spacing w:val="31"/>
        </w:rPr>
        <w:t> </w:t>
      </w:r>
      <w:r>
        <w:rPr/>
        <w:t>escriptura</w:t>
      </w:r>
      <w:r>
        <w:rPr>
          <w:spacing w:val="31"/>
        </w:rPr>
        <w:t> </w:t>
      </w:r>
      <w:r>
        <w:rPr/>
        <w:t>pública</w:t>
      </w:r>
      <w:r>
        <w:rPr>
          <w:spacing w:val="-54"/>
        </w:rPr>
        <w:t> </w:t>
      </w:r>
      <w:r>
        <w:rPr/>
        <w:t>autoritzada</w:t>
      </w:r>
      <w:r>
        <w:rPr>
          <w:spacing w:val="-5"/>
        </w:rPr>
        <w:t> </w:t>
      </w:r>
      <w:r>
        <w:rPr/>
        <w:t>davant</w:t>
      </w:r>
      <w:r>
        <w:rPr>
          <w:spacing w:val="-6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1"/>
        </w:rPr>
        <w:t> </w:t>
      </w:r>
      <w:r>
        <w:rPr/>
        <w:t>amb número de</w:t>
      </w:r>
      <w:r>
        <w:rPr>
          <w:spacing w:val="-1"/>
        </w:rPr>
        <w:t> </w:t>
      </w:r>
      <w:r>
        <w:rPr/>
        <w:t>protocol</w:t>
      </w:r>
      <w:r>
        <w:rPr>
          <w:spacing w:val="6"/>
        </w:rPr>
        <w:t> </w:t>
      </w:r>
      <w:r>
        <w:rPr/>
        <w:t>.</w:t>
      </w:r>
    </w:p>
    <w:p>
      <w:pPr>
        <w:pStyle w:val="BodyText"/>
        <w:tabs>
          <w:tab w:pos="5335" w:val="left" w:leader="none"/>
        </w:tabs>
        <w:ind w:left="380" w:right="115"/>
        <w:jc w:val="both"/>
      </w:pPr>
      <w:r>
        <w:rPr/>
        <w:t>,</w:t>
      </w:r>
      <w:r>
        <w:rPr>
          <w:spacing w:val="-5"/>
        </w:rPr>
        <w:t> </w:t>
      </w:r>
      <w:r>
        <w:rPr/>
        <w:t>assabentat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l’anunci</w:t>
      </w:r>
      <w:r>
        <w:rPr>
          <w:spacing w:val="-3"/>
        </w:rPr>
        <w:t> </w:t>
      </w:r>
      <w:r>
        <w:rPr/>
        <w:t>publicat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data</w:t>
        <w:tab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perfil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contractant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l’Ajuntament</w:t>
      </w:r>
      <w:r>
        <w:rPr>
          <w:spacing w:val="1"/>
        </w:rPr>
        <w:t> </w:t>
      </w:r>
      <w:r>
        <w:rPr/>
        <w:t>de</w:t>
      </w:r>
      <w:r>
        <w:rPr>
          <w:spacing w:val="-53"/>
        </w:rPr>
        <w:t> </w:t>
      </w:r>
      <w:r>
        <w:rPr/>
        <w:t>Sabadell i de les condicions i requisits que s’exigeixen per a l’adjudicació del contracte anomenat</w:t>
      </w:r>
      <w:r>
        <w:rPr>
          <w:spacing w:val="1"/>
        </w:rPr>
        <w:t> </w:t>
      </w:r>
      <w:r>
        <w:rPr>
          <w:rFonts w:ascii="Arial" w:hAnsi="Arial"/>
          <w:b/>
        </w:rPr>
        <w:t>“Projecte executiu de reforma del carrer d’Antoni Forrellad. Fase II” </w:t>
      </w:r>
      <w:r>
        <w:rPr/>
        <w:t>concorre a aquest procediment i</w:t>
      </w:r>
      <w:r>
        <w:rPr>
          <w:spacing w:val="-53"/>
        </w:rPr>
        <w:t> </w:t>
      </w:r>
      <w:r>
        <w:rPr/>
        <w:t>es</w:t>
      </w:r>
      <w:r>
        <w:rPr>
          <w:spacing w:val="-8"/>
        </w:rPr>
        <w:t> </w:t>
      </w:r>
      <w:r>
        <w:rPr/>
        <w:t>compromet,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cas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ser</w:t>
      </w:r>
      <w:r>
        <w:rPr>
          <w:spacing w:val="-8"/>
        </w:rPr>
        <w:t> </w:t>
      </w:r>
      <w:r>
        <w:rPr/>
        <w:t>seleccionada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oferta,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l’execució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contracte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estricta</w:t>
      </w:r>
      <w:r>
        <w:rPr>
          <w:spacing w:val="-7"/>
        </w:rPr>
        <w:t> </w:t>
      </w:r>
      <w:r>
        <w:rPr/>
        <w:t>subjecció</w:t>
      </w:r>
      <w:r>
        <w:rPr>
          <w:spacing w:val="-53"/>
        </w:rPr>
        <w:t> </w:t>
      </w:r>
      <w:r>
        <w:rPr>
          <w:spacing w:val="-2"/>
        </w:rPr>
        <w:t>al</w:t>
      </w:r>
      <w:r>
        <w:rPr>
          <w:spacing w:val="-11"/>
        </w:rPr>
        <w:t> </w:t>
      </w:r>
      <w:r>
        <w:rPr>
          <w:spacing w:val="-2"/>
        </w:rPr>
        <w:t>projecte</w:t>
      </w:r>
      <w:r>
        <w:rPr>
          <w:spacing w:val="-10"/>
        </w:rPr>
        <w:t> </w:t>
      </w:r>
      <w:r>
        <w:rPr>
          <w:spacing w:val="-2"/>
        </w:rPr>
        <w:t>redactat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l’efecte</w:t>
      </w:r>
      <w:r>
        <w:rPr>
          <w:spacing w:val="-11"/>
        </w:rPr>
        <w:t> </w:t>
      </w:r>
      <w:r>
        <w:rPr>
          <w:spacing w:val="-2"/>
        </w:rPr>
        <w:t>i</w:t>
      </w:r>
      <w:r>
        <w:rPr>
          <w:spacing w:val="-11"/>
        </w:rPr>
        <w:t> </w:t>
      </w:r>
      <w:r>
        <w:rPr>
          <w:spacing w:val="-2"/>
        </w:rPr>
        <w:t>al</w:t>
      </w:r>
      <w:r>
        <w:rPr>
          <w:spacing w:val="-11"/>
        </w:rPr>
        <w:t> </w:t>
      </w:r>
      <w:r>
        <w:rPr>
          <w:spacing w:val="-2"/>
        </w:rPr>
        <w:t>plec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clàusules</w:t>
      </w:r>
      <w:r>
        <w:rPr>
          <w:spacing w:val="-11"/>
        </w:rPr>
        <w:t> </w:t>
      </w:r>
      <w:r>
        <w:rPr>
          <w:spacing w:val="-2"/>
        </w:rPr>
        <w:t>administratives</w:t>
      </w:r>
      <w:r>
        <w:rPr>
          <w:spacing w:val="-12"/>
        </w:rPr>
        <w:t> </w:t>
      </w:r>
      <w:r>
        <w:rPr>
          <w:spacing w:val="-1"/>
        </w:rPr>
        <w:t>particulars</w:t>
      </w:r>
      <w:r>
        <w:rPr>
          <w:spacing w:val="36"/>
        </w:rPr>
        <w:t> </w:t>
      </w:r>
      <w:r>
        <w:rPr>
          <w:spacing w:val="-1"/>
        </w:rPr>
        <w:t>i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resta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documentació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53"/>
        </w:rPr>
        <w:t> </w:t>
      </w:r>
      <w:r>
        <w:rPr/>
        <w:t>forma</w:t>
      </w:r>
      <w:r>
        <w:rPr>
          <w:spacing w:val="-5"/>
        </w:rPr>
        <w:t> </w:t>
      </w:r>
      <w:r>
        <w:rPr/>
        <w:t>part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licitació.</w:t>
      </w:r>
    </w:p>
    <w:p>
      <w:pPr>
        <w:pStyle w:val="BodyText"/>
      </w:pPr>
    </w:p>
    <w:p>
      <w:pPr>
        <w:pStyle w:val="BodyText"/>
        <w:ind w:left="380" w:right="116"/>
        <w:jc w:val="both"/>
      </w:pPr>
      <w:r>
        <w:rPr/>
        <w:t>En relació als criteris d’adjudicació avaluables mitjançant l’aplicació de fórmules que preveu el Plec de</w:t>
      </w:r>
      <w:r>
        <w:rPr>
          <w:spacing w:val="1"/>
        </w:rPr>
        <w:t> </w:t>
      </w:r>
      <w:r>
        <w:rPr>
          <w:spacing w:val="-1"/>
        </w:rPr>
        <w:t>clàusules</w:t>
      </w:r>
      <w:r>
        <w:rPr>
          <w:spacing w:val="-13"/>
        </w:rPr>
        <w:t> </w:t>
      </w:r>
      <w:r>
        <w:rPr>
          <w:spacing w:val="-1"/>
        </w:rPr>
        <w:t>administratives</w:t>
      </w:r>
      <w:r>
        <w:rPr>
          <w:spacing w:val="-13"/>
        </w:rPr>
        <w:t> </w:t>
      </w:r>
      <w:r>
        <w:rPr>
          <w:spacing w:val="-1"/>
        </w:rPr>
        <w:t>particulars</w:t>
      </w:r>
      <w:r>
        <w:rPr>
          <w:spacing w:val="-12"/>
        </w:rPr>
        <w:t> </w:t>
      </w:r>
      <w:r>
        <w:rPr>
          <w:spacing w:val="-1"/>
        </w:rPr>
        <w:t>fa</w:t>
      </w:r>
      <w:r>
        <w:rPr>
          <w:spacing w:val="-13"/>
        </w:rPr>
        <w:t> </w:t>
      </w:r>
      <w:r>
        <w:rPr>
          <w:spacing w:val="-1"/>
        </w:rPr>
        <w:t>constar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l’oferta</w:t>
      </w:r>
      <w:r>
        <w:rPr>
          <w:spacing w:val="-13"/>
        </w:rPr>
        <w:t> </w:t>
      </w:r>
      <w:r>
        <w:rPr>
          <w:spacing w:val="-1"/>
        </w:rPr>
        <w:t>presentada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>
          <w:spacing w:val="-1"/>
        </w:rPr>
        <w:t>desglossa</w:t>
      </w:r>
      <w:r>
        <w:rPr>
          <w:spacing w:val="-13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el</w:t>
      </w:r>
      <w:r>
        <w:rPr>
          <w:spacing w:val="-11"/>
        </w:rPr>
        <w:t> </w:t>
      </w:r>
      <w:r>
        <w:rPr/>
        <w:t>següent:</w:t>
      </w:r>
    </w:p>
    <w:p>
      <w:pPr>
        <w:pStyle w:val="BodyText"/>
      </w:pPr>
    </w:p>
    <w:p>
      <w:pPr>
        <w:pStyle w:val="Heading1"/>
      </w:pPr>
      <w:r>
        <w:rPr>
          <w:spacing w:val="-1"/>
        </w:rPr>
        <w:t>Criteri</w:t>
      </w:r>
      <w:r>
        <w:rPr>
          <w:spacing w:val="-13"/>
        </w:rPr>
        <w:t> </w:t>
      </w:r>
      <w:r>
        <w:rPr>
          <w:spacing w:val="-1"/>
        </w:rPr>
        <w:t>1.</w:t>
      </w:r>
      <w:r>
        <w:rPr>
          <w:spacing w:val="-12"/>
        </w:rPr>
        <w:t> </w:t>
      </w:r>
      <w:r>
        <w:rPr>
          <w:spacing w:val="-1"/>
        </w:rPr>
        <w:t>Baixa</w:t>
      </w:r>
      <w:r>
        <w:rPr>
          <w:spacing w:val="-12"/>
        </w:rPr>
        <w:t> </w:t>
      </w:r>
      <w:r>
        <w:rPr>
          <w:spacing w:val="-1"/>
        </w:rPr>
        <w:t>econòmica.</w:t>
      </w:r>
      <w:r>
        <w:rPr>
          <w:spacing w:val="-13"/>
        </w:rPr>
        <w:t> </w:t>
      </w:r>
      <w:r>
        <w:rPr/>
        <w:t>(Puntuació</w:t>
      </w:r>
      <w:r>
        <w:rPr>
          <w:spacing w:val="-13"/>
        </w:rPr>
        <w:t> </w:t>
      </w:r>
      <w:r>
        <w:rPr/>
        <w:t>màxima</w:t>
      </w:r>
      <w:r>
        <w:rPr>
          <w:spacing w:val="-12"/>
        </w:rPr>
        <w:t> </w:t>
      </w:r>
      <w:r>
        <w:rPr/>
        <w:t>fins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85</w:t>
      </w:r>
      <w:r>
        <w:rPr>
          <w:spacing w:val="-12"/>
        </w:rPr>
        <w:t> </w:t>
      </w:r>
      <w:r>
        <w:rPr/>
        <w:t>punts)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ind w:left="380"/>
        <w:jc w:val="both"/>
      </w:pPr>
      <w:r>
        <w:rPr>
          <w:spacing w:val="-1"/>
        </w:rPr>
        <w:t>Import</w:t>
      </w:r>
      <w:r>
        <w:rPr>
          <w:spacing w:val="-12"/>
        </w:rPr>
        <w:t> </w:t>
      </w:r>
      <w:r>
        <w:rPr/>
        <w:t>base:</w:t>
      </w:r>
    </w:p>
    <w:p>
      <w:pPr>
        <w:pStyle w:val="BodyText"/>
        <w:ind w:left="380"/>
        <w:jc w:val="both"/>
      </w:pPr>
      <w:r>
        <w:rPr/>
        <w:t>Import</w:t>
      </w:r>
      <w:r>
        <w:rPr>
          <w:spacing w:val="-12"/>
        </w:rPr>
        <w:t> </w:t>
      </w:r>
      <w:r>
        <w:rPr/>
        <w:t>IVA:</w:t>
      </w:r>
    </w:p>
    <w:p>
      <w:pPr>
        <w:pStyle w:val="BodyText"/>
        <w:ind w:left="380"/>
        <w:jc w:val="both"/>
      </w:pPr>
      <w:r>
        <w:rPr>
          <w:spacing w:val="-1"/>
        </w:rPr>
        <w:t>Import</w:t>
      </w:r>
      <w:r>
        <w:rPr>
          <w:spacing w:val="-13"/>
        </w:rPr>
        <w:t> </w:t>
      </w:r>
      <w:r>
        <w:rPr/>
        <w:t>total:</w:t>
      </w:r>
    </w:p>
    <w:p>
      <w:pPr>
        <w:pStyle w:val="BodyText"/>
        <w:rPr>
          <w:sz w:val="18"/>
        </w:rPr>
      </w:pPr>
    </w:p>
    <w:p>
      <w:pPr>
        <w:pStyle w:val="Heading1"/>
      </w:pPr>
      <w:r>
        <w:rPr/>
        <w:t>Criteri</w:t>
      </w:r>
      <w:r>
        <w:rPr>
          <w:spacing w:val="-2"/>
        </w:rPr>
        <w:t> </w:t>
      </w:r>
      <w:r>
        <w:rPr/>
        <w:t>2.</w:t>
      </w:r>
      <w:r>
        <w:rPr>
          <w:spacing w:val="-2"/>
        </w:rPr>
        <w:t> </w:t>
      </w:r>
      <w:r>
        <w:rPr/>
        <w:t>Ampliació</w:t>
      </w:r>
      <w:r>
        <w:rPr>
          <w:spacing w:val="-1"/>
        </w:rPr>
        <w:t> </w:t>
      </w:r>
      <w:r>
        <w:rPr/>
        <w:t>del</w:t>
      </w:r>
      <w:r>
        <w:rPr>
          <w:spacing w:val="-3"/>
        </w:rPr>
        <w:t> </w:t>
      </w:r>
      <w:r>
        <w:rPr/>
        <w:t>termini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(Puntuació</w:t>
      </w:r>
      <w:r>
        <w:rPr>
          <w:spacing w:val="-1"/>
        </w:rPr>
        <w:t> </w:t>
      </w:r>
      <w:r>
        <w:rPr/>
        <w:t>màxima</w:t>
      </w:r>
      <w:r>
        <w:rPr>
          <w:spacing w:val="-2"/>
        </w:rPr>
        <w:t> </w:t>
      </w:r>
      <w:r>
        <w:rPr/>
        <w:t>fins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15</w:t>
      </w:r>
      <w:r>
        <w:rPr>
          <w:spacing w:val="-2"/>
        </w:rPr>
        <w:t> </w:t>
      </w:r>
      <w:r>
        <w:rPr/>
        <w:t>punts)</w:t>
      </w:r>
    </w:p>
    <w:p>
      <w:pPr>
        <w:pStyle w:val="BodyText"/>
        <w:ind w:left="380"/>
        <w:jc w:val="both"/>
      </w:pPr>
      <w:r>
        <w:rPr/>
        <w:t>El</w:t>
      </w:r>
      <w:r>
        <w:rPr>
          <w:spacing w:val="-3"/>
        </w:rPr>
        <w:t> </w:t>
      </w:r>
      <w:r>
        <w:rPr/>
        <w:t>període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establert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aquesta</w:t>
      </w:r>
      <w:r>
        <w:rPr>
          <w:spacing w:val="-2"/>
        </w:rPr>
        <w:t> </w:t>
      </w:r>
      <w:r>
        <w:rPr/>
        <w:t>obra</w:t>
      </w:r>
      <w:r>
        <w:rPr>
          <w:spacing w:val="-3"/>
        </w:rPr>
        <w:t> </w:t>
      </w:r>
      <w:r>
        <w:rPr/>
        <w:t>és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l’acta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recepció.</w:t>
      </w:r>
    </w:p>
    <w:p>
      <w:pPr>
        <w:pStyle w:val="BodyText"/>
      </w:pPr>
    </w:p>
    <w:p>
      <w:pPr>
        <w:pStyle w:val="BodyText"/>
        <w:ind w:left="380" w:right="117"/>
        <w:jc w:val="both"/>
      </w:pPr>
      <w:r>
        <w:rPr/>
        <w:t>El licitador pot presentar una ampliació de la garantia addicional fins a 36 mesos (48 en total). L’ampliació</w:t>
      </w:r>
      <w:r>
        <w:rPr>
          <w:spacing w:val="-54"/>
        </w:rPr>
        <w:t> </w:t>
      </w:r>
      <w:r>
        <w:rPr/>
        <w:t>del</w:t>
      </w:r>
      <w:r>
        <w:rPr>
          <w:spacing w:val="-10"/>
        </w:rPr>
        <w:t> </w:t>
      </w:r>
      <w:r>
        <w:rPr/>
        <w:t>termini</w:t>
      </w:r>
      <w:r>
        <w:rPr>
          <w:spacing w:val="-10"/>
        </w:rPr>
        <w:t> </w:t>
      </w:r>
      <w:r>
        <w:rPr/>
        <w:t>haurà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ser</w:t>
      </w:r>
      <w:r>
        <w:rPr>
          <w:spacing w:val="-9"/>
        </w:rPr>
        <w:t> </w:t>
      </w:r>
      <w:r>
        <w:rPr/>
        <w:t>en</w:t>
      </w:r>
      <w:r>
        <w:rPr>
          <w:spacing w:val="-10"/>
        </w:rPr>
        <w:t> </w:t>
      </w:r>
      <w:r>
        <w:rPr/>
        <w:t>terminis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12</w:t>
      </w:r>
      <w:r>
        <w:rPr>
          <w:spacing w:val="-9"/>
        </w:rPr>
        <w:t> </w:t>
      </w:r>
      <w:r>
        <w:rPr/>
        <w:t>mesos</w:t>
      </w:r>
      <w:r>
        <w:rPr>
          <w:spacing w:val="-10"/>
        </w:rPr>
        <w:t> </w:t>
      </w:r>
      <w:r>
        <w:rPr/>
        <w:t>(no</w:t>
      </w:r>
      <w:r>
        <w:rPr>
          <w:spacing w:val="-9"/>
        </w:rPr>
        <w:t> </w:t>
      </w:r>
      <w:r>
        <w:rPr/>
        <w:t>es</w:t>
      </w:r>
      <w:r>
        <w:rPr>
          <w:spacing w:val="-10"/>
        </w:rPr>
        <w:t> </w:t>
      </w:r>
      <w:r>
        <w:rPr/>
        <w:t>valorarà</w:t>
      </w:r>
      <w:r>
        <w:rPr>
          <w:spacing w:val="-9"/>
        </w:rPr>
        <w:t> </w:t>
      </w:r>
      <w:r>
        <w:rPr/>
        <w:t>cap</w:t>
      </w:r>
      <w:r>
        <w:rPr>
          <w:spacing w:val="-10"/>
        </w:rPr>
        <w:t> </w:t>
      </w:r>
      <w:r>
        <w:rPr/>
        <w:t>altra</w:t>
      </w:r>
      <w:r>
        <w:rPr>
          <w:spacing w:val="-9"/>
        </w:rPr>
        <w:t> </w:t>
      </w:r>
      <w:r>
        <w:rPr/>
        <w:t>opció</w:t>
      </w:r>
      <w:r>
        <w:rPr>
          <w:spacing w:val="-10"/>
        </w:rPr>
        <w:t> </w:t>
      </w:r>
      <w:r>
        <w:rPr/>
        <w:t>que</w:t>
      </w:r>
      <w:r>
        <w:rPr>
          <w:spacing w:val="-9"/>
        </w:rPr>
        <w:t> </w:t>
      </w:r>
      <w:r>
        <w:rPr/>
        <w:t>no</w:t>
      </w:r>
      <w:r>
        <w:rPr>
          <w:spacing w:val="-10"/>
        </w:rPr>
        <w:t> </w:t>
      </w:r>
      <w:r>
        <w:rPr/>
        <w:t>sigui</w:t>
      </w:r>
      <w:r>
        <w:rPr>
          <w:spacing w:val="-9"/>
        </w:rPr>
        <w:t> </w:t>
      </w:r>
      <w:r>
        <w:rPr/>
        <w:t>una</w:t>
      </w:r>
      <w:r>
        <w:rPr>
          <w:spacing w:val="-10"/>
        </w:rPr>
        <w:t> </w:t>
      </w:r>
      <w:r>
        <w:rPr/>
        <w:t>ampliació</w:t>
      </w:r>
      <w:r>
        <w:rPr>
          <w:spacing w:val="-53"/>
        </w:rPr>
        <w:t> </w:t>
      </w:r>
      <w:r>
        <w:rPr/>
        <w:t>en</w:t>
      </w:r>
      <w:r>
        <w:rPr>
          <w:spacing w:val="-1"/>
        </w:rPr>
        <w:t> </w:t>
      </w:r>
      <w:r>
        <w:rPr/>
        <w:t>terminis</w:t>
      </w:r>
      <w:r>
        <w:rPr>
          <w:spacing w:val="-1"/>
        </w:rPr>
        <w:t> </w:t>
      </w:r>
      <w:r>
        <w:rPr/>
        <w:t>de 12 mesos).</w:t>
      </w:r>
    </w:p>
    <w:p>
      <w:pPr>
        <w:pStyle w:val="BodyText"/>
      </w:pPr>
    </w:p>
    <w:p>
      <w:pPr>
        <w:pStyle w:val="BodyText"/>
        <w:ind w:left="380"/>
        <w:jc w:val="both"/>
      </w:pPr>
      <w:r>
        <w:rPr/>
        <w:t>Es</w:t>
      </w:r>
      <w:r>
        <w:rPr>
          <w:spacing w:val="-2"/>
        </w:rPr>
        <w:t> </w:t>
      </w:r>
      <w:r>
        <w:rPr/>
        <w:t>valorarà</w:t>
      </w:r>
      <w:r>
        <w:rPr>
          <w:spacing w:val="-3"/>
        </w:rPr>
        <w:t> </w:t>
      </w:r>
      <w:r>
        <w:rPr/>
        <w:t>d’acord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següent</w:t>
      </w:r>
      <w:r>
        <w:rPr>
          <w:spacing w:val="-3"/>
        </w:rPr>
        <w:t> </w:t>
      </w:r>
      <w:r>
        <w:rPr/>
        <w:t>barem:</w:t>
      </w: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spacing w:before="1"/>
        <w:ind w:left="1436"/>
        <w:jc w:val="both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1373731</wp:posOffset>
            </wp:positionH>
            <wp:positionV relativeFrom="paragraph">
              <wp:posOffset>-16765</wp:posOffset>
            </wp:positionV>
            <wp:extent cx="117021" cy="117021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21" cy="11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1373731</wp:posOffset>
            </wp:positionH>
            <wp:positionV relativeFrom="paragraph">
              <wp:posOffset>146671</wp:posOffset>
            </wp:positionV>
            <wp:extent cx="117021" cy="117021"/>
            <wp:effectExtent l="0" t="0" r="0" b="0"/>
            <wp:wrapNone/>
            <wp:docPr id="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21" cy="11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No</w:t>
      </w:r>
      <w:r>
        <w:rPr>
          <w:spacing w:val="-14"/>
        </w:rPr>
        <w:t> </w:t>
      </w:r>
      <w:r>
        <w:rPr/>
        <w:t>ampliació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garantia:</w:t>
      </w:r>
      <w:r>
        <w:rPr>
          <w:spacing w:val="-14"/>
        </w:rPr>
        <w:t> </w:t>
      </w:r>
      <w:r>
        <w:rPr/>
        <w:t>0</w:t>
      </w:r>
      <w:r>
        <w:rPr>
          <w:spacing w:val="-14"/>
        </w:rPr>
        <w:t> </w:t>
      </w:r>
      <w:r>
        <w:rPr/>
        <w:t>punts</w:t>
      </w:r>
    </w:p>
    <w:p>
      <w:pPr>
        <w:pStyle w:val="BodyText"/>
        <w:spacing w:line="268" w:lineRule="auto" w:before="27"/>
        <w:ind w:left="1436" w:right="3818"/>
        <w:jc w:val="both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1373731</wp:posOffset>
            </wp:positionH>
            <wp:positionV relativeFrom="paragraph">
              <wp:posOffset>163180</wp:posOffset>
            </wp:positionV>
            <wp:extent cx="117021" cy="117021"/>
            <wp:effectExtent l="0" t="0" r="0" b="0"/>
            <wp:wrapNone/>
            <wp:docPr id="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21" cy="11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1373731</wp:posOffset>
            </wp:positionH>
            <wp:positionV relativeFrom="paragraph">
              <wp:posOffset>326616</wp:posOffset>
            </wp:positionV>
            <wp:extent cx="117021" cy="117021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21" cy="11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Ampliació de garantia a 24 mesos en total: 5 punts</w:t>
      </w:r>
      <w:r>
        <w:rPr>
          <w:spacing w:val="1"/>
        </w:rPr>
        <w:t> </w:t>
      </w:r>
      <w:r>
        <w:rPr/>
        <w:t>Ampliació de garantia a 36 mesos en total: 10 punts</w:t>
      </w:r>
      <w:r>
        <w:rPr>
          <w:spacing w:val="-53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48</w:t>
      </w:r>
      <w:r>
        <w:rPr>
          <w:spacing w:val="-2"/>
        </w:rPr>
        <w:t> </w:t>
      </w:r>
      <w:r>
        <w:rPr/>
        <w:t>mesos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total:</w:t>
      </w:r>
      <w:r>
        <w:rPr>
          <w:spacing w:val="-2"/>
        </w:rPr>
        <w:t> </w:t>
      </w:r>
      <w:r>
        <w:rPr/>
        <w:t>15</w:t>
      </w:r>
      <w:r>
        <w:rPr>
          <w:spacing w:val="-2"/>
        </w:rPr>
        <w:t> </w:t>
      </w:r>
      <w:r>
        <w:rPr/>
        <w:t>punts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914400</wp:posOffset>
            </wp:positionH>
            <wp:positionV relativeFrom="paragraph">
              <wp:posOffset>215883</wp:posOffset>
            </wp:positionV>
            <wp:extent cx="5610086" cy="310896"/>
            <wp:effectExtent l="0" t="0" r="0" b="0"/>
            <wp:wrapTopAndBottom/>
            <wp:docPr id="1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086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820" w:bottom="280" w:left="106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38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93"/>
      <w:ind w:left="380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2023-12-21T12:18:59Z</dcterms:created>
  <dcterms:modified xsi:type="dcterms:W3CDTF">2023-12-21T12:18:59Z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