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4</w:t>
      </w:r>
    </w:p>
    <w:p>
      <w:pPr>
        <w:pStyle w:val="BodyText"/>
        <w:rPr>
          <w:rFonts w:ascii="Arial"/>
          <w:b/>
        </w:rPr>
      </w:pPr>
    </w:p>
    <w:p>
      <w:pPr>
        <w:spacing w:before="0"/>
        <w:ind w:left="1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A.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pacing w:val="-2"/>
          <w:sz w:val="20"/>
        </w:rPr>
        <w:t>D’OFERTA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pacing w:val="-2"/>
          <w:sz w:val="20"/>
        </w:rPr>
        <w:t>ECONÒMICA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pacing w:val="-2"/>
          <w:sz w:val="20"/>
        </w:rPr>
        <w:t>GENERAL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  <w:ind w:left="1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left="1"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pStyle w:val="BodyText"/>
        <w:tabs>
          <w:tab w:pos="4963" w:val="left" w:leader="none"/>
        </w:tabs>
        <w:ind w:left="1" w:right="139"/>
        <w:jc w:val="both"/>
      </w:pPr>
      <w:r>
        <w:rPr/>
        <w:t>, assabentat de l’anunci publicat en data</w:t>
        <w:tab/>
        <w:t>en el perfil del contractant de l’Ajuntament de Sabadell i de les condicions i requisits que s’exigeixen per a l’adjudicació del contracte anomenat</w:t>
      </w:r>
    </w:p>
    <w:p>
      <w:pPr>
        <w:spacing w:before="0"/>
        <w:ind w:left="1" w:right="137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“Servei de defensa, representació i assistència jurídica, dins de l’àmbit penal, dels</w:t>
      </w:r>
      <w:r>
        <w:rPr>
          <w:rFonts w:ascii="Arial" w:hAnsi="Arial"/>
          <w:b/>
          <w:spacing w:val="40"/>
          <w:sz w:val="20"/>
        </w:rPr>
        <w:t> </w:t>
      </w:r>
      <w:r>
        <w:rPr>
          <w:rFonts w:ascii="Arial" w:hAnsi="Arial"/>
          <w:b/>
          <w:sz w:val="20"/>
        </w:rPr>
        <w:t>agents de la Policia Municipal de Sabadell” </w:t>
      </w:r>
      <w:r>
        <w:rPr>
          <w:sz w:val="20"/>
        </w:rPr>
        <w:t>concorre a aquest procediment i es compromet, en</w:t>
      </w:r>
      <w:r>
        <w:rPr>
          <w:spacing w:val="-14"/>
          <w:sz w:val="20"/>
        </w:rPr>
        <w:t> </w:t>
      </w:r>
      <w:r>
        <w:rPr>
          <w:sz w:val="20"/>
        </w:rPr>
        <w:t>cas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ser</w:t>
      </w:r>
      <w:r>
        <w:rPr>
          <w:spacing w:val="-14"/>
          <w:sz w:val="20"/>
        </w:rPr>
        <w:t> </w:t>
      </w:r>
      <w:r>
        <w:rPr>
          <w:sz w:val="20"/>
        </w:rPr>
        <w:t>seleccionada</w:t>
      </w:r>
      <w:r>
        <w:rPr>
          <w:spacing w:val="-14"/>
          <w:sz w:val="20"/>
        </w:rPr>
        <w:t> </w:t>
      </w:r>
      <w:r>
        <w:rPr>
          <w:sz w:val="20"/>
        </w:rPr>
        <w:t>la</w:t>
      </w:r>
      <w:r>
        <w:rPr>
          <w:spacing w:val="-14"/>
          <w:sz w:val="20"/>
        </w:rPr>
        <w:t> </w:t>
      </w:r>
      <w:r>
        <w:rPr>
          <w:sz w:val="20"/>
        </w:rPr>
        <w:t>seva</w:t>
      </w:r>
      <w:r>
        <w:rPr>
          <w:spacing w:val="-14"/>
          <w:sz w:val="20"/>
        </w:rPr>
        <w:t> </w:t>
      </w:r>
      <w:r>
        <w:rPr>
          <w:sz w:val="20"/>
        </w:rPr>
        <w:t>oferta,</w:t>
      </w:r>
      <w:r>
        <w:rPr>
          <w:spacing w:val="-14"/>
          <w:sz w:val="20"/>
        </w:rPr>
        <w:t> </w:t>
      </w:r>
      <w:r>
        <w:rPr>
          <w:sz w:val="20"/>
        </w:rPr>
        <w:t>a</w:t>
      </w:r>
      <w:r>
        <w:rPr>
          <w:spacing w:val="-14"/>
          <w:sz w:val="20"/>
        </w:rPr>
        <w:t> </w:t>
      </w:r>
      <w:r>
        <w:rPr>
          <w:sz w:val="20"/>
        </w:rPr>
        <w:t>l’execució</w:t>
      </w:r>
      <w:r>
        <w:rPr>
          <w:spacing w:val="-13"/>
          <w:sz w:val="20"/>
        </w:rPr>
        <w:t> </w:t>
      </w:r>
      <w:r>
        <w:rPr>
          <w:sz w:val="20"/>
        </w:rPr>
        <w:t>del</w:t>
      </w:r>
      <w:r>
        <w:rPr>
          <w:spacing w:val="-14"/>
          <w:sz w:val="20"/>
        </w:rPr>
        <w:t> </w:t>
      </w:r>
      <w:r>
        <w:rPr>
          <w:sz w:val="20"/>
        </w:rPr>
        <w:t>contracte</w:t>
      </w:r>
      <w:r>
        <w:rPr>
          <w:spacing w:val="-14"/>
          <w:sz w:val="20"/>
        </w:rPr>
        <w:t> </w:t>
      </w:r>
      <w:r>
        <w:rPr>
          <w:sz w:val="20"/>
        </w:rPr>
        <w:t>amb</w:t>
      </w:r>
      <w:r>
        <w:rPr>
          <w:spacing w:val="-14"/>
          <w:sz w:val="20"/>
        </w:rPr>
        <w:t> </w:t>
      </w:r>
      <w:r>
        <w:rPr>
          <w:sz w:val="20"/>
        </w:rPr>
        <w:t>estricta</w:t>
      </w:r>
      <w:r>
        <w:rPr>
          <w:spacing w:val="-14"/>
          <w:sz w:val="20"/>
        </w:rPr>
        <w:t> </w:t>
      </w:r>
      <w:r>
        <w:rPr>
          <w:sz w:val="20"/>
        </w:rPr>
        <w:t>subjecció</w:t>
      </w:r>
      <w:r>
        <w:rPr>
          <w:spacing w:val="-14"/>
          <w:sz w:val="20"/>
        </w:rPr>
        <w:t> </w:t>
      </w:r>
      <w:r>
        <w:rPr>
          <w:sz w:val="20"/>
        </w:rPr>
        <w:t>al</w:t>
      </w:r>
      <w:r>
        <w:rPr>
          <w:spacing w:val="-14"/>
          <w:sz w:val="20"/>
        </w:rPr>
        <w:t> </w:t>
      </w:r>
      <w:r>
        <w:rPr>
          <w:sz w:val="20"/>
        </w:rPr>
        <w:t>plec de clàusules administratives particulars, al plec de condicions tècniques particulars i la resta de documentació que forma part de la licitació.</w:t>
      </w:r>
    </w:p>
    <w:p>
      <w:pPr>
        <w:pStyle w:val="BodyText"/>
        <w:spacing w:before="80"/>
      </w:pPr>
    </w:p>
    <w:p>
      <w:pPr>
        <w:pStyle w:val="BodyText"/>
        <w:ind w:left="1" w:right="137"/>
        <w:jc w:val="both"/>
      </w:pPr>
      <w:r>
        <w:rPr/>
        <w:t>En relació als criteris d’avaluació mitjançant l’aplicació objectiva de la respectiva fórmula que preveu el Plec de clàusules administratives particulars, fa constar que l’oferta presentada es desglossa conforme el següent:</w:t>
      </w:r>
    </w:p>
    <w:p>
      <w:pPr>
        <w:pStyle w:val="BodyText"/>
        <w:spacing w:before="229"/>
      </w:pPr>
    </w:p>
    <w:p>
      <w:pPr>
        <w:pStyle w:val="Heading1"/>
        <w:spacing w:before="1"/>
        <w:ind w:right="137"/>
        <w:jc w:val="both"/>
        <w:rPr>
          <w:u w:val="none"/>
        </w:rPr>
      </w:pPr>
      <w:r>
        <w:rPr>
          <w:u w:val="single"/>
        </w:rPr>
        <w:t>Criteri</w:t>
      </w:r>
      <w:r>
        <w:rPr>
          <w:spacing w:val="-8"/>
          <w:u w:val="single"/>
        </w:rPr>
        <w:t> </w:t>
      </w:r>
      <w:r>
        <w:rPr>
          <w:u w:val="single"/>
        </w:rPr>
        <w:t>1.</w:t>
      </w:r>
      <w:r>
        <w:rPr>
          <w:spacing w:val="-8"/>
          <w:u w:val="single"/>
        </w:rPr>
        <w:t> </w:t>
      </w:r>
      <w:r>
        <w:rPr>
          <w:u w:val="single"/>
        </w:rPr>
        <w:t>Baixa</w:t>
      </w:r>
      <w:r>
        <w:rPr>
          <w:spacing w:val="-8"/>
          <w:u w:val="single"/>
        </w:rPr>
        <w:t> </w:t>
      </w:r>
      <w:r>
        <w:rPr>
          <w:u w:val="single"/>
        </w:rPr>
        <w:t>econòmica</w:t>
      </w:r>
      <w:r>
        <w:rPr>
          <w:spacing w:val="-8"/>
          <w:u w:val="single"/>
        </w:rPr>
        <w:t> </w:t>
      </w:r>
      <w:r>
        <w:rPr>
          <w:u w:val="single"/>
        </w:rPr>
        <w:t>sobre</w:t>
      </w:r>
      <w:r>
        <w:rPr>
          <w:spacing w:val="-8"/>
          <w:u w:val="single"/>
        </w:rPr>
        <w:t> </w:t>
      </w:r>
      <w:r>
        <w:rPr>
          <w:u w:val="single"/>
        </w:rPr>
        <w:t>els</w:t>
      </w:r>
      <w:r>
        <w:rPr>
          <w:spacing w:val="-8"/>
          <w:u w:val="single"/>
        </w:rPr>
        <w:t> </w:t>
      </w:r>
      <w:r>
        <w:rPr>
          <w:u w:val="single"/>
        </w:rPr>
        <w:t>preus</w:t>
      </w:r>
      <w:r>
        <w:rPr>
          <w:spacing w:val="-8"/>
          <w:u w:val="single"/>
        </w:rPr>
        <w:t> </w:t>
      </w:r>
      <w:r>
        <w:rPr>
          <w:u w:val="single"/>
        </w:rPr>
        <w:t>unitaris</w:t>
      </w:r>
      <w:r>
        <w:rPr>
          <w:spacing w:val="-8"/>
          <w:u w:val="single"/>
        </w:rPr>
        <w:t> </w:t>
      </w:r>
      <w:r>
        <w:rPr>
          <w:u w:val="single"/>
        </w:rPr>
        <w:t>que</w:t>
      </w:r>
      <w:r>
        <w:rPr>
          <w:spacing w:val="-8"/>
          <w:u w:val="single"/>
        </w:rPr>
        <w:t> </w:t>
      </w:r>
      <w:r>
        <w:rPr>
          <w:u w:val="single"/>
        </w:rPr>
        <w:t>s’estableixen</w:t>
      </w:r>
      <w:r>
        <w:rPr>
          <w:spacing w:val="-8"/>
          <w:u w:val="single"/>
        </w:rPr>
        <w:t> </w:t>
      </w:r>
      <w:r>
        <w:rPr>
          <w:u w:val="single"/>
        </w:rPr>
        <w:t>en</w:t>
      </w:r>
      <w:r>
        <w:rPr>
          <w:spacing w:val="-8"/>
          <w:u w:val="single"/>
        </w:rPr>
        <w:t> </w:t>
      </w:r>
      <w:r>
        <w:rPr>
          <w:u w:val="single"/>
        </w:rPr>
        <w:t>l’annex</w:t>
      </w:r>
      <w:r>
        <w:rPr>
          <w:spacing w:val="-8"/>
          <w:u w:val="single"/>
        </w:rPr>
        <w:t> </w:t>
      </w:r>
      <w:r>
        <w:rPr>
          <w:u w:val="single"/>
        </w:rPr>
        <w:t>A</w:t>
      </w:r>
      <w:r>
        <w:rPr>
          <w:spacing w:val="-8"/>
          <w:u w:val="single"/>
        </w:rPr>
        <w:t> </w:t>
      </w:r>
      <w:r>
        <w:rPr>
          <w:u w:val="single"/>
        </w:rPr>
        <w:t>del</w:t>
      </w:r>
      <w:r>
        <w:rPr>
          <w:spacing w:val="-8"/>
          <w:u w:val="single"/>
        </w:rPr>
        <w:t> </w:t>
      </w:r>
      <w:r>
        <w:rPr>
          <w:u w:val="single"/>
        </w:rPr>
        <w:t>Plec</w:t>
      </w:r>
      <w:r>
        <w:rPr>
          <w:u w:val="non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Prescripcions tècniques,</w:t>
      </w:r>
      <w:r>
        <w:rPr>
          <w:spacing w:val="-1"/>
          <w:u w:val="single"/>
        </w:rPr>
        <w:t> </w:t>
      </w:r>
      <w:r>
        <w:rPr>
          <w:u w:val="single"/>
        </w:rPr>
        <w:t>com a criteri econòmic</w:t>
      </w:r>
      <w:r>
        <w:rPr>
          <w:spacing w:val="-1"/>
          <w:u w:val="single"/>
        </w:rPr>
        <w:t> </w:t>
      </w:r>
      <w:r>
        <w:rPr>
          <w:u w:val="single"/>
        </w:rPr>
        <w:t>(fins</w:t>
      </w:r>
      <w:r>
        <w:rPr>
          <w:spacing w:val="-1"/>
          <w:u w:val="single"/>
        </w:rPr>
        <w:t> </w:t>
      </w:r>
      <w:r>
        <w:rPr>
          <w:u w:val="single"/>
        </w:rPr>
        <w:t>a 49 punts).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29"/>
        <w:rPr>
          <w:rFonts w:ascii="Arial"/>
          <w:b/>
        </w:rPr>
      </w:pPr>
    </w:p>
    <w:p>
      <w:pPr>
        <w:pStyle w:val="ListParagraph"/>
        <w:numPr>
          <w:ilvl w:val="0"/>
          <w:numId w:val="1"/>
        </w:numPr>
        <w:tabs>
          <w:tab w:pos="721" w:val="left" w:leader="none"/>
        </w:tabs>
        <w:spacing w:line="240" w:lineRule="auto" w:before="1" w:after="0"/>
        <w:ind w:left="721" w:right="219" w:hanging="360"/>
        <w:jc w:val="left"/>
        <w:rPr>
          <w:sz w:val="20"/>
        </w:rPr>
      </w:pPr>
      <w:r>
        <w:rPr>
          <w:sz w:val="20"/>
        </w:rPr>
        <w:t>Ofereix,</w:t>
      </w:r>
      <w:r>
        <w:rPr>
          <w:spacing w:val="-4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millora</w:t>
      </w:r>
      <w:r>
        <w:rPr>
          <w:spacing w:val="-4"/>
          <w:sz w:val="20"/>
        </w:rPr>
        <w:t> </w:t>
      </w:r>
      <w:r>
        <w:rPr>
          <w:sz w:val="20"/>
        </w:rPr>
        <w:t>econòmica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-3"/>
          <w:sz w:val="20"/>
        </w:rPr>
        <w:t> </w:t>
      </w:r>
      <w:r>
        <w:rPr>
          <w:sz w:val="20"/>
        </w:rPr>
        <w:t>següent</w:t>
      </w:r>
      <w:r>
        <w:rPr>
          <w:spacing w:val="-4"/>
          <w:sz w:val="20"/>
        </w:rPr>
        <w:t> </w:t>
      </w:r>
      <w:r>
        <w:rPr>
          <w:sz w:val="20"/>
        </w:rPr>
        <w:t>percentatge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baixa</w:t>
      </w:r>
      <w:r>
        <w:rPr>
          <w:spacing w:val="-3"/>
          <w:sz w:val="20"/>
        </w:rPr>
        <w:t> </w:t>
      </w:r>
      <w:r>
        <w:rPr>
          <w:sz w:val="20"/>
        </w:rPr>
        <w:t>global</w:t>
      </w:r>
      <w:r>
        <w:rPr>
          <w:spacing w:val="-4"/>
          <w:sz w:val="20"/>
        </w:rPr>
        <w:t> </w:t>
      </w:r>
      <w:r>
        <w:rPr>
          <w:sz w:val="20"/>
        </w:rPr>
        <w:t>sobre</w:t>
      </w:r>
      <w:r>
        <w:rPr>
          <w:spacing w:val="-3"/>
          <w:sz w:val="20"/>
        </w:rPr>
        <w:t> </w:t>
      </w:r>
      <w:r>
        <w:rPr>
          <w:sz w:val="20"/>
        </w:rPr>
        <w:t>tots</w:t>
      </w:r>
      <w:r>
        <w:rPr>
          <w:spacing w:val="-3"/>
          <w:sz w:val="20"/>
        </w:rPr>
        <w:t> </w:t>
      </w:r>
      <w:r>
        <w:rPr>
          <w:sz w:val="20"/>
        </w:rPr>
        <w:t>els preus unitaris que s’indiquen en l’annex A del Plec de Prescripcions tècniques:</w:t>
      </w:r>
    </w:p>
    <w:p>
      <w:pPr>
        <w:pStyle w:val="BodyText"/>
        <w:spacing w:before="119"/>
      </w:pPr>
    </w:p>
    <w:p>
      <w:pPr>
        <w:pStyle w:val="BodyText"/>
        <w:tabs>
          <w:tab w:pos="1484" w:val="left" w:leader="none"/>
          <w:tab w:pos="1985" w:val="left" w:leader="none"/>
        </w:tabs>
        <w:spacing w:before="1"/>
        <w:ind w:left="1125"/>
      </w:pPr>
      <w:r>
        <w:rPr>
          <w:spacing w:val="-10"/>
        </w:rPr>
        <w:t>-</w:t>
      </w:r>
      <w:r>
        <w:rPr/>
        <w:tab/>
      </w:r>
      <w:r>
        <w:rPr>
          <w:spacing w:val="80"/>
          <w:w w:val="150"/>
          <w:u w:val="single"/>
        </w:rPr>
        <w:t> </w:t>
      </w:r>
      <w:r>
        <w:rPr>
          <w:u w:val="single"/>
        </w:rPr>
        <w:t>,</w:t>
        <w:tab/>
      </w:r>
      <w:r>
        <w:rPr/>
        <w:t> % de baixa global.</w:t>
      </w:r>
    </w:p>
    <w:p>
      <w:pPr>
        <w:pStyle w:val="BodyText"/>
      </w:pPr>
    </w:p>
    <w:p>
      <w:pPr>
        <w:pStyle w:val="BodyText"/>
        <w:spacing w:before="229"/>
      </w:pPr>
    </w:p>
    <w:p>
      <w:pPr>
        <w:pStyle w:val="Heading1"/>
        <w:spacing w:before="1"/>
        <w:rPr>
          <w:u w:val="none"/>
        </w:rPr>
      </w:pPr>
      <w:r>
        <w:rPr>
          <w:u w:val="single"/>
        </w:rPr>
        <w:t>Criteri</w:t>
      </w:r>
      <w:r>
        <w:rPr>
          <w:spacing w:val="28"/>
          <w:u w:val="single"/>
        </w:rPr>
        <w:t> </w:t>
      </w:r>
      <w:r>
        <w:rPr>
          <w:u w:val="single"/>
        </w:rPr>
        <w:t>2.</w:t>
      </w:r>
      <w:r>
        <w:rPr>
          <w:spacing w:val="28"/>
          <w:u w:val="single"/>
        </w:rPr>
        <w:t> </w:t>
      </w:r>
      <w:r>
        <w:rPr>
          <w:u w:val="single"/>
        </w:rPr>
        <w:t>Plataforma</w:t>
      </w:r>
      <w:r>
        <w:rPr>
          <w:spacing w:val="28"/>
          <w:u w:val="single"/>
        </w:rPr>
        <w:t> </w:t>
      </w:r>
      <w:r>
        <w:rPr>
          <w:u w:val="single"/>
        </w:rPr>
        <w:t>de</w:t>
      </w:r>
      <w:r>
        <w:rPr>
          <w:spacing w:val="28"/>
          <w:u w:val="single"/>
        </w:rPr>
        <w:t> </w:t>
      </w:r>
      <w:r>
        <w:rPr>
          <w:u w:val="single"/>
        </w:rPr>
        <w:t>consulta</w:t>
      </w:r>
      <w:r>
        <w:rPr>
          <w:spacing w:val="28"/>
          <w:u w:val="single"/>
        </w:rPr>
        <w:t> </w:t>
      </w:r>
      <w:r>
        <w:rPr>
          <w:u w:val="single"/>
        </w:rPr>
        <w:t>telemàtica</w:t>
      </w:r>
      <w:r>
        <w:rPr>
          <w:spacing w:val="28"/>
          <w:u w:val="single"/>
        </w:rPr>
        <w:t> </w:t>
      </w:r>
      <w:r>
        <w:rPr>
          <w:u w:val="single"/>
        </w:rPr>
        <w:t>com</w:t>
      </w:r>
      <w:r>
        <w:rPr>
          <w:spacing w:val="28"/>
          <w:u w:val="single"/>
        </w:rPr>
        <w:t> </w:t>
      </w:r>
      <w:r>
        <w:rPr>
          <w:u w:val="single"/>
        </w:rPr>
        <w:t>a</w:t>
      </w:r>
      <w:r>
        <w:rPr>
          <w:spacing w:val="28"/>
          <w:u w:val="single"/>
        </w:rPr>
        <w:t> </w:t>
      </w:r>
      <w:r>
        <w:rPr>
          <w:u w:val="single"/>
        </w:rPr>
        <w:t>criteri</w:t>
      </w:r>
      <w:r>
        <w:rPr>
          <w:spacing w:val="28"/>
          <w:u w:val="single"/>
        </w:rPr>
        <w:t> </w:t>
      </w:r>
      <w:r>
        <w:rPr>
          <w:u w:val="single"/>
        </w:rPr>
        <w:t>de</w:t>
      </w:r>
      <w:r>
        <w:rPr>
          <w:spacing w:val="28"/>
          <w:u w:val="single"/>
        </w:rPr>
        <w:t> </w:t>
      </w:r>
      <w:r>
        <w:rPr>
          <w:u w:val="single"/>
        </w:rPr>
        <w:t>qualitat,</w:t>
      </w:r>
      <w:r>
        <w:rPr>
          <w:spacing w:val="28"/>
          <w:u w:val="single"/>
        </w:rPr>
        <w:t> </w:t>
      </w:r>
      <w:r>
        <w:rPr>
          <w:u w:val="single"/>
        </w:rPr>
        <w:t>en</w:t>
      </w:r>
      <w:r>
        <w:rPr>
          <w:spacing w:val="28"/>
          <w:u w:val="single"/>
        </w:rPr>
        <w:t> </w:t>
      </w:r>
      <w:r>
        <w:rPr>
          <w:u w:val="single"/>
        </w:rPr>
        <w:t>els</w:t>
      </w:r>
      <w:r>
        <w:rPr>
          <w:spacing w:val="28"/>
          <w:u w:val="single"/>
        </w:rPr>
        <w:t> </w:t>
      </w:r>
      <w:r>
        <w:rPr>
          <w:u w:val="single"/>
        </w:rPr>
        <w:t>termes</w:t>
      </w:r>
      <w:r>
        <w:rPr>
          <w:spacing w:val="28"/>
          <w:u w:val="single"/>
        </w:rPr>
        <w:t> </w:t>
      </w:r>
      <w:r>
        <w:rPr>
          <w:u w:val="single"/>
        </w:rPr>
        <w:t>de</w:t>
      </w:r>
      <w:r>
        <w:rPr>
          <w:u w:val="none"/>
        </w:rPr>
        <w:t> </w:t>
      </w:r>
      <w:r>
        <w:rPr>
          <w:u w:val="single"/>
        </w:rPr>
        <w:t>l’article 145.4 de la LCSP.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44"/>
        <w:rPr>
          <w:rFonts w:ascii="Arial"/>
          <w:b/>
        </w:rPr>
      </w:pPr>
    </w:p>
    <w:p>
      <w:pPr>
        <w:pStyle w:val="ListParagraph"/>
        <w:numPr>
          <w:ilvl w:val="0"/>
          <w:numId w:val="2"/>
        </w:numPr>
        <w:tabs>
          <w:tab w:pos="721" w:val="left" w:leader="none"/>
        </w:tabs>
        <w:spacing w:line="216" w:lineRule="auto" w:before="0" w:after="0"/>
        <w:ind w:left="721" w:right="541" w:hanging="360"/>
        <w:jc w:val="both"/>
        <w:rPr>
          <w:sz w:val="20"/>
        </w:rPr>
      </w:pPr>
      <w:r>
        <w:rPr>
          <w:rFonts w:ascii="Arial" w:hAnsi="Arial"/>
          <w:b/>
          <w:sz w:val="20"/>
        </w:rPr>
        <w:t>SI</w:t>
      </w:r>
      <w:r>
        <w:rPr>
          <w:rFonts w:ascii="Arial" w:hAnsi="Arial"/>
          <w:b/>
          <w:spacing w:val="-4"/>
          <w:sz w:val="20"/>
        </w:rPr>
        <w:t> </w:t>
      </w:r>
      <w:r>
        <w:rPr>
          <w:sz w:val="20"/>
        </w:rPr>
        <w:t>ofereix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implementació</w:t>
      </w:r>
      <w:r>
        <w:rPr>
          <w:spacing w:val="-3"/>
          <w:sz w:val="20"/>
        </w:rPr>
        <w:t> </w:t>
      </w:r>
      <w:r>
        <w:rPr>
          <w:sz w:val="20"/>
        </w:rPr>
        <w:t>d’una</w:t>
      </w:r>
      <w:r>
        <w:rPr>
          <w:spacing w:val="-4"/>
          <w:sz w:val="20"/>
        </w:rPr>
        <w:t> </w:t>
      </w:r>
      <w:r>
        <w:rPr>
          <w:sz w:val="20"/>
        </w:rPr>
        <w:t>plataforma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entorn</w:t>
      </w:r>
      <w:r>
        <w:rPr>
          <w:spacing w:val="-3"/>
          <w:sz w:val="20"/>
        </w:rPr>
        <w:t> </w:t>
      </w:r>
      <w:r>
        <w:rPr>
          <w:sz w:val="20"/>
        </w:rPr>
        <w:t>web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similar</w:t>
      </w:r>
      <w:r>
        <w:rPr>
          <w:spacing w:val="-4"/>
          <w:sz w:val="20"/>
        </w:rPr>
        <w:t> </w:t>
      </w:r>
      <w:r>
        <w:rPr>
          <w:sz w:val="20"/>
        </w:rPr>
        <w:t>per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consulta telemàtica</w:t>
      </w:r>
      <w:r>
        <w:rPr>
          <w:spacing w:val="-3"/>
          <w:sz w:val="20"/>
        </w:rPr>
        <w:t> </w:t>
      </w:r>
      <w:r>
        <w:rPr>
          <w:sz w:val="20"/>
        </w:rPr>
        <w:t>on-line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tramitació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l’expedient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documentació</w:t>
      </w:r>
      <w:r>
        <w:rPr>
          <w:spacing w:val="-3"/>
          <w:sz w:val="20"/>
        </w:rPr>
        <w:t> </w:t>
      </w:r>
      <w:r>
        <w:rPr>
          <w:sz w:val="20"/>
        </w:rPr>
        <w:t>elaborada</w:t>
      </w:r>
      <w:r>
        <w:rPr>
          <w:spacing w:val="-3"/>
          <w:sz w:val="20"/>
        </w:rPr>
        <w:t> </w:t>
      </w:r>
      <w:r>
        <w:rPr>
          <w:sz w:val="20"/>
        </w:rPr>
        <w:t>en execució del contracte.</w:t>
      </w:r>
    </w:p>
    <w:p>
      <w:pPr>
        <w:pStyle w:val="ListParagraph"/>
        <w:numPr>
          <w:ilvl w:val="0"/>
          <w:numId w:val="2"/>
        </w:numPr>
        <w:tabs>
          <w:tab w:pos="721" w:val="left" w:leader="none"/>
        </w:tabs>
        <w:spacing w:line="216" w:lineRule="auto" w:before="49" w:after="0"/>
        <w:ind w:left="721" w:right="431" w:hanging="360"/>
        <w:jc w:val="left"/>
        <w:rPr>
          <w:sz w:val="20"/>
        </w:rPr>
      </w:pPr>
      <w:r>
        <w:rPr>
          <w:rFonts w:ascii="Arial" w:hAnsi="Arial"/>
          <w:b/>
          <w:sz w:val="20"/>
        </w:rPr>
        <w:t>NO</w:t>
      </w:r>
      <w:r>
        <w:rPr>
          <w:rFonts w:ascii="Arial" w:hAnsi="Arial"/>
          <w:b/>
          <w:spacing w:val="-4"/>
          <w:sz w:val="20"/>
        </w:rPr>
        <w:t> </w:t>
      </w:r>
      <w:r>
        <w:rPr>
          <w:sz w:val="20"/>
        </w:rPr>
        <w:t>ofereix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implementació</w:t>
      </w:r>
      <w:r>
        <w:rPr>
          <w:spacing w:val="-3"/>
          <w:sz w:val="20"/>
        </w:rPr>
        <w:t> </w:t>
      </w:r>
      <w:r>
        <w:rPr>
          <w:sz w:val="20"/>
        </w:rPr>
        <w:t>d’una</w:t>
      </w:r>
      <w:r>
        <w:rPr>
          <w:spacing w:val="-4"/>
          <w:sz w:val="20"/>
        </w:rPr>
        <w:t> </w:t>
      </w:r>
      <w:r>
        <w:rPr>
          <w:sz w:val="20"/>
        </w:rPr>
        <w:t>plataforma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entorn</w:t>
      </w:r>
      <w:r>
        <w:rPr>
          <w:spacing w:val="-3"/>
          <w:sz w:val="20"/>
        </w:rPr>
        <w:t> </w:t>
      </w:r>
      <w:r>
        <w:rPr>
          <w:sz w:val="20"/>
        </w:rPr>
        <w:t>web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similar</w:t>
      </w:r>
      <w:r>
        <w:rPr>
          <w:spacing w:val="-4"/>
          <w:sz w:val="20"/>
        </w:rPr>
        <w:t> </w:t>
      </w:r>
      <w:r>
        <w:rPr>
          <w:sz w:val="20"/>
        </w:rPr>
        <w:t>per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consulta telemàtica on-line de la tramitació de l’expedient i de la documentació elaborada en execució del contracte.</w:t>
      </w:r>
    </w:p>
    <w:p>
      <w:pPr>
        <w:pStyle w:val="BodyText"/>
        <w:spacing w:before="5"/>
      </w:pPr>
    </w:p>
    <w:p>
      <w:pPr>
        <w:pStyle w:val="BodyText"/>
        <w:tabs>
          <w:tab w:pos="7741" w:val="left" w:leader="dot"/>
        </w:tabs>
        <w:spacing w:before="1"/>
        <w:ind w:left="361"/>
      </w:pPr>
      <w:r>
        <w:rPr/>
        <w:t>-Si</w:t>
      </w:r>
      <w:r>
        <w:rPr>
          <w:spacing w:val="-4"/>
        </w:rPr>
        <w:t> </w:t>
      </w:r>
      <w:r>
        <w:rPr/>
        <w:t>ofereix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plataforma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consulta</w:t>
      </w:r>
      <w:r>
        <w:rPr>
          <w:spacing w:val="-3"/>
        </w:rPr>
        <w:t> </w:t>
      </w:r>
      <w:r>
        <w:rPr>
          <w:spacing w:val="-2"/>
        </w:rPr>
        <w:t>telemàtica</w:t>
      </w:r>
      <w:r>
        <w:rPr/>
        <w:tab/>
        <w:t>35</w:t>
      </w:r>
      <w:r>
        <w:rPr>
          <w:spacing w:val="-3"/>
        </w:rPr>
        <w:t> </w:t>
      </w:r>
      <w:r>
        <w:rPr>
          <w:spacing w:val="-2"/>
        </w:rPr>
        <w:t>punt.</w:t>
      </w:r>
    </w:p>
    <w:p>
      <w:pPr>
        <w:pStyle w:val="BodyText"/>
        <w:tabs>
          <w:tab w:pos="7763" w:val="left" w:leader="dot"/>
        </w:tabs>
        <w:ind w:left="361"/>
      </w:pPr>
      <w:r>
        <w:rPr/>
        <w:t>-No</w:t>
      </w:r>
      <w:r>
        <w:rPr>
          <w:spacing w:val="-4"/>
        </w:rPr>
        <w:t> </w:t>
      </w:r>
      <w:r>
        <w:rPr/>
        <w:t>ofereix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plataforma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consulta</w:t>
      </w:r>
      <w:r>
        <w:rPr>
          <w:spacing w:val="-3"/>
        </w:rPr>
        <w:t> </w:t>
      </w:r>
      <w:r>
        <w:rPr>
          <w:spacing w:val="-2"/>
        </w:rPr>
        <w:t>telemàtica</w:t>
      </w:r>
      <w:r>
        <w:rPr/>
        <w:tab/>
        <w:t>0</w:t>
      </w:r>
      <w:r>
        <w:rPr>
          <w:spacing w:val="-2"/>
        </w:rPr>
        <w:t> punts.</w:t>
      </w:r>
    </w:p>
    <w:p>
      <w:pPr>
        <w:pStyle w:val="BodyText"/>
        <w:spacing w:after="0"/>
        <w:sectPr>
          <w:footerReference w:type="default" r:id="rId5"/>
          <w:type w:val="continuous"/>
          <w:pgSz w:w="11910" w:h="16840"/>
          <w:pgMar w:header="0" w:footer="592" w:top="1340" w:bottom="780" w:left="1700" w:right="1559"/>
          <w:pgNumType w:start="46"/>
        </w:sectPr>
      </w:pPr>
    </w:p>
    <w:p>
      <w:pPr>
        <w:pStyle w:val="BodyText"/>
        <w:ind w:left="134"/>
      </w:pPr>
      <w:r>
        <w:rPr/>
        <w:drawing>
          <wp:inline distT="0" distB="0" distL="0" distR="0">
            <wp:extent cx="1080587" cy="448436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5"/>
        <w:rPr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25;height:155" type="#_x0000_t75" id="docshape4" stroked="false">
                        <v:imagedata r:id="rId7" o:title=""/>
                      </v:shape>
                      <v:shape style="position:absolute;left:304;top:0;width:140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25;height:155" type="#_x0000_t75" id="docshape8" stroked="false">
                        <v:imagedata r:id="rId9" o:title=""/>
                      </v:shape>
                      <v:shape style="position:absolute;left:1218;top:0;width:140;height:155" type="#_x0000_t75" id="docshape9" stroked="false">
                        <v:imagedata r:id="rId11" o:title=""/>
                      </v:shape>
                      <v:shape style="position:absolute;left:1066;top:0;width:125;height:155" type="#_x0000_t75" id="docshape10" stroked="false">
                        <v:imagedata r:id="rId9" o:title=""/>
                      </v:shape>
                      <v:shape style="position:absolute;left:913;top:0;width:140;height:155" type="#_x0000_t75" id="docshape11" stroked="false">
                        <v:imagedata r:id="rId8" o:title=""/>
                      </v:shape>
                      <v:shape style="position:absolute;left:761;top:0;width:140;height:155" type="#_x0000_t75" id="docshape12" stroked="false">
                        <v:imagedata r:id="rId12" o:title=""/>
                      </v:shape>
                      <v:shape style="position:absolute;left:609;top:0;width:140;height:155" type="#_x0000_t75" id="docshape13" stroked="false">
                        <v:imagedata r:id="rId13" o:title=""/>
                      </v:shape>
                      <v:shape style="position:absolute;left:2436;top:0;width:140;height:155" type="#_x0000_t75" id="docshape14" stroked="false">
                        <v:imagedata r:id="rId12" o:title=""/>
                      </v:shape>
                      <v:shape style="position:absolute;left:2284;top:0;width:125;height:155" type="#_x0000_t75" id="docshape15" stroked="false">
                        <v:imagedata r:id="rId7" o:title=""/>
                      </v:shape>
                      <v:shape style="position:absolute;left:2132;top:0;width:140;height:155" type="#_x0000_t75" id="docshape16" stroked="false">
                        <v:imagedata r:id="rId14" o:title=""/>
                      </v:shape>
                      <v:shape style="position:absolute;left:1979;top:0;width:140;height:155" type="#_x0000_t75" id="docshape17" stroked="false">
                        <v:imagedata r:id="rId15" o:title=""/>
                      </v:shape>
                      <v:shape style="position:absolute;left:1827;top:0;width:140;height:155" type="#_x0000_t75" id="docshape18" stroked="false">
                        <v:imagedata r:id="rId16" o:title=""/>
                      </v:shape>
                      <v:shape style="position:absolute;left:1675;top:0;width:140;height:155" type="#_x0000_t75" id="docshape19" stroked="false">
                        <v:imagedata r:id="rId12" o:title=""/>
                      </v:shape>
                      <v:shape style="position:absolute;left:1523;top:0;width:140;height:155" type="#_x0000_t75" id="docshape20" stroked="false">
                        <v:imagedata r:id="rId12" o:title=""/>
                      </v:shape>
                      <v:shape style="position:absolute;left:3350;top:0;width:180;height:155" type="#_x0000_t75" id="docshape21" stroked="false">
                        <v:imagedata r:id="rId17" o:title=""/>
                      </v:shape>
                      <v:shape style="position:absolute;left:3198;top:0;width:140;height:155" type="#_x0000_t75" id="docshape22" stroked="false">
                        <v:imagedata r:id="rId18" o:title=""/>
                      </v:shape>
                      <v:shape style="position:absolute;left:3046;top:0;width:115;height:155" type="#_x0000_t75" id="docshape23" stroked="false">
                        <v:imagedata r:id="rId19" o:title=""/>
                      </v:shape>
                      <v:shape style="position:absolute;left:2893;top:0;width:140;height:155" type="#_x0000_t75" id="docshape24" stroked="false">
                        <v:imagedata r:id="rId16" o:title=""/>
                      </v:shape>
                      <v:shape style="position:absolute;left:2741;top:0;width:115;height:155" type="#_x0000_t75" id="docshape25" stroked="false">
                        <v:imagedata r:id="rId20" o:title=""/>
                      </v:shape>
                      <v:shape style="position:absolute;left:2589;top:0;width:125;height:155" type="#_x0000_t75" id="docshape26" stroked="false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768"/>
              <w:rPr>
                <w:sz w:val="14"/>
              </w:rPr>
            </w:pPr>
            <w:r>
              <w:rPr>
                <w:sz w:val="14"/>
              </w:rPr>
              <w:t>0K3W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2K0Q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022R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1Z32</w:t>
            </w:r>
            <w:r>
              <w:rPr>
                <w:spacing w:val="57"/>
                <w:sz w:val="14"/>
              </w:rPr>
              <w:t>  </w:t>
            </w:r>
            <w:r>
              <w:rPr>
                <w:spacing w:val="-4"/>
                <w:sz w:val="14"/>
              </w:rPr>
              <w:t>0DRS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16"/>
              <w:rPr>
                <w:sz w:val="14"/>
              </w:rPr>
            </w:pPr>
            <w:r>
              <w:rPr>
                <w:spacing w:val="-2"/>
                <w:sz w:val="14"/>
              </w:rPr>
              <w:t>SGT/2025/2233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SGT19I07FP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06-11-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 w:right="45"/>
              <w:rPr>
                <w:sz w:val="14"/>
              </w:rPr>
            </w:pPr>
            <w:r>
              <w:rPr>
                <w:sz w:val="14"/>
              </w:rPr>
              <w:t>POS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Servei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defensa,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representació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assistència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jurídica,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dins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l'àmbit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penal,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dels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agents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de la Policia Municipal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  <w:spacing w:before="49"/>
      </w:pPr>
    </w:p>
    <w:p>
      <w:pPr>
        <w:pStyle w:val="Heading1"/>
        <w:rPr>
          <w:u w:val="none"/>
        </w:rPr>
      </w:pPr>
      <w:r>
        <w:rPr>
          <w:spacing w:val="-2"/>
          <w:u w:val="single"/>
        </w:rPr>
        <w:t>Criteri</w:t>
      </w:r>
      <w:r>
        <w:rPr>
          <w:spacing w:val="-7"/>
          <w:u w:val="single"/>
        </w:rPr>
        <w:t> </w:t>
      </w:r>
      <w:r>
        <w:rPr>
          <w:spacing w:val="-2"/>
          <w:u w:val="single"/>
        </w:rPr>
        <w:t>3.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Suport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jurídic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i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assessorament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als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agents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en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l’àmbit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penal/processal</w:t>
      </w:r>
    </w:p>
    <w:p>
      <w:pPr>
        <w:pStyle w:val="BodyText"/>
        <w:spacing w:before="44"/>
        <w:rPr>
          <w:rFonts w:ascii="Arial"/>
          <w:b/>
        </w:rPr>
      </w:pPr>
    </w:p>
    <w:p>
      <w:pPr>
        <w:pStyle w:val="ListParagraph"/>
        <w:numPr>
          <w:ilvl w:val="0"/>
          <w:numId w:val="2"/>
        </w:numPr>
        <w:tabs>
          <w:tab w:pos="721" w:val="left" w:leader="none"/>
        </w:tabs>
        <w:spacing w:line="216" w:lineRule="auto" w:before="0" w:after="0"/>
        <w:ind w:left="721" w:right="139" w:hanging="360"/>
        <w:jc w:val="both"/>
        <w:rPr>
          <w:sz w:val="20"/>
        </w:rPr>
      </w:pPr>
      <w:r>
        <w:rPr>
          <w:rFonts w:ascii="Arial" w:hAnsi="Arial"/>
          <w:b/>
          <w:sz w:val="20"/>
        </w:rPr>
        <w:t>SI </w:t>
      </w:r>
      <w:r>
        <w:rPr>
          <w:sz w:val="20"/>
        </w:rPr>
        <w:t>ofereix prestar suport jurídic i assessorament per al personal de la Policia Municipal de l’Ajuntament dins l’àmbit penal/processal, en dubtes que puguin sorgir envers a actuacions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situacions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els</w:t>
      </w:r>
      <w:r>
        <w:rPr>
          <w:spacing w:val="31"/>
          <w:sz w:val="20"/>
        </w:rPr>
        <w:t> </w:t>
      </w:r>
      <w:r>
        <w:rPr>
          <w:sz w:val="20"/>
        </w:rPr>
        <w:t>agents</w:t>
      </w:r>
      <w:r>
        <w:rPr>
          <w:spacing w:val="31"/>
          <w:sz w:val="20"/>
        </w:rPr>
        <w:t> </w:t>
      </w:r>
      <w:r>
        <w:rPr>
          <w:sz w:val="20"/>
        </w:rPr>
        <w:t>hagin</w:t>
      </w:r>
      <w:r>
        <w:rPr>
          <w:spacing w:val="31"/>
          <w:sz w:val="20"/>
        </w:rPr>
        <w:t> </w:t>
      </w:r>
      <w:r>
        <w:rPr>
          <w:sz w:val="20"/>
        </w:rPr>
        <w:t>patit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puguin</w:t>
      </w:r>
      <w:r>
        <w:rPr>
          <w:spacing w:val="31"/>
          <w:sz w:val="20"/>
        </w:rPr>
        <w:t> </w:t>
      </w:r>
      <w:r>
        <w:rPr>
          <w:sz w:val="20"/>
        </w:rPr>
        <w:t>patir</w:t>
      </w:r>
      <w:r>
        <w:rPr>
          <w:spacing w:val="31"/>
          <w:sz w:val="20"/>
        </w:rPr>
        <w:t> </w:t>
      </w:r>
      <w:r>
        <w:rPr>
          <w:sz w:val="20"/>
        </w:rPr>
        <w:t>al</w:t>
      </w:r>
      <w:r>
        <w:rPr>
          <w:spacing w:val="31"/>
          <w:sz w:val="20"/>
        </w:rPr>
        <w:t> </w:t>
      </w:r>
      <w:r>
        <w:rPr>
          <w:sz w:val="20"/>
        </w:rPr>
        <w:t>seu</w:t>
      </w:r>
      <w:r>
        <w:rPr>
          <w:spacing w:val="31"/>
          <w:sz w:val="20"/>
        </w:rPr>
        <w:t> </w:t>
      </w:r>
      <w:r>
        <w:rPr>
          <w:sz w:val="20"/>
        </w:rPr>
        <w:t>lloc</w:t>
      </w:r>
      <w:r>
        <w:rPr>
          <w:spacing w:val="31"/>
          <w:sz w:val="20"/>
        </w:rPr>
        <w:t> </w:t>
      </w:r>
      <w:r>
        <w:rPr>
          <w:sz w:val="20"/>
        </w:rPr>
        <w:t>de</w:t>
      </w:r>
    </w:p>
    <w:p>
      <w:pPr>
        <w:pStyle w:val="BodyText"/>
        <w:spacing w:before="5"/>
        <w:ind w:left="721"/>
      </w:pPr>
      <w:r>
        <w:rPr/>
        <w:t>treball</w:t>
      </w:r>
      <w:r>
        <w:rPr>
          <w:spacing w:val="-5"/>
        </w:rPr>
        <w:t> </w:t>
      </w:r>
      <w:r>
        <w:rPr/>
        <w:t>i</w:t>
      </w:r>
      <w:r>
        <w:rPr>
          <w:spacing w:val="-2"/>
        </w:rPr>
        <w:t> </w:t>
      </w:r>
      <w:r>
        <w:rPr/>
        <w:t>que</w:t>
      </w:r>
      <w:r>
        <w:rPr>
          <w:spacing w:val="-3"/>
        </w:rPr>
        <w:t> </w:t>
      </w:r>
      <w:r>
        <w:rPr/>
        <w:t>puguin</w:t>
      </w:r>
      <w:r>
        <w:rPr>
          <w:spacing w:val="-3"/>
        </w:rPr>
        <w:t> </w:t>
      </w:r>
      <w:r>
        <w:rPr/>
        <w:t>ser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caràcter</w:t>
      </w:r>
      <w:r>
        <w:rPr>
          <w:spacing w:val="-3"/>
        </w:rPr>
        <w:t> </w:t>
      </w:r>
      <w:r>
        <w:rPr/>
        <w:t>delictiu</w:t>
      </w:r>
      <w:r>
        <w:rPr>
          <w:spacing w:val="-3"/>
        </w:rPr>
        <w:t> </w:t>
      </w:r>
      <w:r>
        <w:rPr/>
        <w:t>o</w:t>
      </w:r>
      <w:r>
        <w:rPr>
          <w:spacing w:val="-2"/>
        </w:rPr>
        <w:t> </w:t>
      </w:r>
      <w:r>
        <w:rPr/>
        <w:t>objecte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querella</w:t>
      </w:r>
      <w:r>
        <w:rPr>
          <w:spacing w:val="-2"/>
        </w:rPr>
        <w:t> judicial.</w:t>
      </w:r>
    </w:p>
    <w:p>
      <w:pPr>
        <w:pStyle w:val="ListParagraph"/>
        <w:numPr>
          <w:ilvl w:val="0"/>
          <w:numId w:val="2"/>
        </w:numPr>
        <w:tabs>
          <w:tab w:pos="721" w:val="left" w:leader="none"/>
        </w:tabs>
        <w:spacing w:line="216" w:lineRule="auto" w:before="44" w:after="0"/>
        <w:ind w:left="721" w:right="139" w:hanging="360"/>
        <w:jc w:val="both"/>
        <w:rPr>
          <w:sz w:val="20"/>
        </w:rPr>
      </w:pPr>
      <w:r>
        <w:rPr>
          <w:rFonts w:ascii="Arial" w:hAnsi="Arial"/>
          <w:b/>
          <w:sz w:val="20"/>
        </w:rPr>
        <w:t>No </w:t>
      </w:r>
      <w:r>
        <w:rPr>
          <w:sz w:val="20"/>
        </w:rPr>
        <w:t>ofereix prestar suport jurídic i assessorament per al personal de la Policia Municipal de l’Ajuntament dins l’àmbit penal/processal, en dubtes que puguin sorgir envers a actuacions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situacions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els</w:t>
      </w:r>
      <w:r>
        <w:rPr>
          <w:spacing w:val="31"/>
          <w:sz w:val="20"/>
        </w:rPr>
        <w:t> </w:t>
      </w:r>
      <w:r>
        <w:rPr>
          <w:sz w:val="20"/>
        </w:rPr>
        <w:t>agents</w:t>
      </w:r>
      <w:r>
        <w:rPr>
          <w:spacing w:val="31"/>
          <w:sz w:val="20"/>
        </w:rPr>
        <w:t> </w:t>
      </w:r>
      <w:r>
        <w:rPr>
          <w:sz w:val="20"/>
        </w:rPr>
        <w:t>hagin</w:t>
      </w:r>
      <w:r>
        <w:rPr>
          <w:spacing w:val="31"/>
          <w:sz w:val="20"/>
        </w:rPr>
        <w:t> </w:t>
      </w:r>
      <w:r>
        <w:rPr>
          <w:sz w:val="20"/>
        </w:rPr>
        <w:t>patit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puguin</w:t>
      </w:r>
      <w:r>
        <w:rPr>
          <w:spacing w:val="31"/>
          <w:sz w:val="20"/>
        </w:rPr>
        <w:t> </w:t>
      </w:r>
      <w:r>
        <w:rPr>
          <w:sz w:val="20"/>
        </w:rPr>
        <w:t>patir</w:t>
      </w:r>
      <w:r>
        <w:rPr>
          <w:spacing w:val="31"/>
          <w:sz w:val="20"/>
        </w:rPr>
        <w:t> </w:t>
      </w:r>
      <w:r>
        <w:rPr>
          <w:sz w:val="20"/>
        </w:rPr>
        <w:t>al</w:t>
      </w:r>
      <w:r>
        <w:rPr>
          <w:spacing w:val="31"/>
          <w:sz w:val="20"/>
        </w:rPr>
        <w:t> </w:t>
      </w:r>
      <w:r>
        <w:rPr>
          <w:sz w:val="20"/>
        </w:rPr>
        <w:t>seu</w:t>
      </w:r>
      <w:r>
        <w:rPr>
          <w:spacing w:val="31"/>
          <w:sz w:val="20"/>
        </w:rPr>
        <w:t> </w:t>
      </w:r>
      <w:r>
        <w:rPr>
          <w:sz w:val="20"/>
        </w:rPr>
        <w:t>lloc</w:t>
      </w:r>
      <w:r>
        <w:rPr>
          <w:spacing w:val="31"/>
          <w:sz w:val="20"/>
        </w:rPr>
        <w:t> </w:t>
      </w:r>
      <w:r>
        <w:rPr>
          <w:sz w:val="20"/>
        </w:rPr>
        <w:t>de</w:t>
      </w:r>
    </w:p>
    <w:p>
      <w:pPr>
        <w:pStyle w:val="BodyText"/>
        <w:spacing w:before="6"/>
        <w:ind w:left="721"/>
      </w:pPr>
      <w:r>
        <w:rPr/>
        <w:t>treball</w:t>
      </w:r>
      <w:r>
        <w:rPr>
          <w:spacing w:val="-5"/>
        </w:rPr>
        <w:t> </w:t>
      </w:r>
      <w:r>
        <w:rPr/>
        <w:t>i</w:t>
      </w:r>
      <w:r>
        <w:rPr>
          <w:spacing w:val="-2"/>
        </w:rPr>
        <w:t> </w:t>
      </w:r>
      <w:r>
        <w:rPr/>
        <w:t>que</w:t>
      </w:r>
      <w:r>
        <w:rPr>
          <w:spacing w:val="-3"/>
        </w:rPr>
        <w:t> </w:t>
      </w:r>
      <w:r>
        <w:rPr/>
        <w:t>puguin</w:t>
      </w:r>
      <w:r>
        <w:rPr>
          <w:spacing w:val="-3"/>
        </w:rPr>
        <w:t> </w:t>
      </w:r>
      <w:r>
        <w:rPr/>
        <w:t>ser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caràcter</w:t>
      </w:r>
      <w:r>
        <w:rPr>
          <w:spacing w:val="-3"/>
        </w:rPr>
        <w:t> </w:t>
      </w:r>
      <w:r>
        <w:rPr/>
        <w:t>delictiu</w:t>
      </w:r>
      <w:r>
        <w:rPr>
          <w:spacing w:val="-3"/>
        </w:rPr>
        <w:t> </w:t>
      </w:r>
      <w:r>
        <w:rPr/>
        <w:t>o</w:t>
      </w:r>
      <w:r>
        <w:rPr>
          <w:spacing w:val="-2"/>
        </w:rPr>
        <w:t> </w:t>
      </w:r>
      <w:r>
        <w:rPr/>
        <w:t>objecte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querella</w:t>
      </w:r>
      <w:r>
        <w:rPr>
          <w:spacing w:val="-2"/>
        </w:rPr>
        <w:t> judicial.</w:t>
      </w: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tabs>
          <w:tab w:pos="7502" w:val="left" w:leader="dot"/>
        </w:tabs>
        <w:spacing w:before="1"/>
        <w:ind w:left="200"/>
        <w:jc w:val="center"/>
      </w:pPr>
      <w:r>
        <w:rPr/>
        <w:t>-Si</w:t>
      </w:r>
      <w:r>
        <w:rPr>
          <w:spacing w:val="-4"/>
        </w:rPr>
        <w:t> </w:t>
      </w:r>
      <w:r>
        <w:rPr/>
        <w:t>ofereix</w:t>
      </w:r>
      <w:r>
        <w:rPr>
          <w:spacing w:val="-1"/>
        </w:rPr>
        <w:t> </w:t>
      </w:r>
      <w:r>
        <w:rPr/>
        <w:t>suport</w:t>
      </w:r>
      <w:r>
        <w:rPr>
          <w:spacing w:val="-3"/>
        </w:rPr>
        <w:t> </w:t>
      </w:r>
      <w:r>
        <w:rPr/>
        <w:t>jurídic</w:t>
      </w:r>
      <w:r>
        <w:rPr>
          <w:spacing w:val="-1"/>
        </w:rPr>
        <w:t> </w:t>
      </w:r>
      <w:r>
        <w:rPr/>
        <w:t>i</w:t>
      </w:r>
      <w:r>
        <w:rPr>
          <w:spacing w:val="-2"/>
        </w:rPr>
        <w:t> </w:t>
      </w:r>
      <w:r>
        <w:rPr/>
        <w:t>assessorament</w:t>
      </w:r>
      <w:r>
        <w:rPr>
          <w:spacing w:val="-2"/>
        </w:rPr>
        <w:t> </w:t>
      </w:r>
      <w:r>
        <w:rPr/>
        <w:t>als</w:t>
      </w:r>
      <w:r>
        <w:rPr>
          <w:spacing w:val="-2"/>
        </w:rPr>
        <w:t> agents.</w:t>
      </w:r>
      <w:r>
        <w:rPr/>
        <w:tab/>
        <w:t>16</w:t>
      </w:r>
      <w:r>
        <w:rPr>
          <w:spacing w:val="-3"/>
        </w:rPr>
        <w:t> </w:t>
      </w:r>
      <w:r>
        <w:rPr>
          <w:spacing w:val="-2"/>
        </w:rPr>
        <w:t>punts.</w:t>
      </w:r>
    </w:p>
    <w:p>
      <w:pPr>
        <w:pStyle w:val="BodyText"/>
        <w:tabs>
          <w:tab w:pos="7547" w:val="left" w:leader="dot"/>
        </w:tabs>
        <w:ind w:left="167"/>
        <w:jc w:val="center"/>
      </w:pPr>
      <w:r>
        <w:rPr/>
        <w:t>-No</w:t>
      </w:r>
      <w:r>
        <w:rPr>
          <w:spacing w:val="-4"/>
        </w:rPr>
        <w:t> </w:t>
      </w:r>
      <w:r>
        <w:rPr/>
        <w:t>ofereix</w:t>
      </w:r>
      <w:r>
        <w:rPr>
          <w:spacing w:val="-2"/>
        </w:rPr>
        <w:t> </w:t>
      </w:r>
      <w:r>
        <w:rPr/>
        <w:t>suport</w:t>
      </w:r>
      <w:r>
        <w:rPr>
          <w:spacing w:val="-2"/>
        </w:rPr>
        <w:t> </w:t>
      </w:r>
      <w:r>
        <w:rPr/>
        <w:t>jurídic</w:t>
      </w:r>
      <w:r>
        <w:rPr>
          <w:spacing w:val="-2"/>
        </w:rPr>
        <w:t> </w:t>
      </w:r>
      <w:r>
        <w:rPr/>
        <w:t>ni</w:t>
      </w:r>
      <w:r>
        <w:rPr>
          <w:spacing w:val="-1"/>
        </w:rPr>
        <w:t> </w:t>
      </w:r>
      <w:r>
        <w:rPr/>
        <w:t>assessorament</w:t>
      </w:r>
      <w:r>
        <w:rPr>
          <w:spacing w:val="-3"/>
        </w:rPr>
        <w:t> </w:t>
      </w:r>
      <w:r>
        <w:rPr/>
        <w:t>als</w:t>
      </w:r>
      <w:r>
        <w:rPr>
          <w:spacing w:val="-2"/>
        </w:rPr>
        <w:t> agents.</w:t>
      </w:r>
      <w:r>
        <w:rPr/>
        <w:tab/>
        <w:t>0</w:t>
      </w:r>
      <w:r>
        <w:rPr>
          <w:spacing w:val="-2"/>
        </w:rPr>
        <w:t> punts.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281"/>
        <w:jc w:val="center"/>
      </w:pPr>
      <w:r>
        <w:rPr/>
        <w:t>,</w:t>
      </w:r>
      <w:r>
        <w:rPr>
          <w:spacing w:val="-11"/>
        </w:rPr>
        <w:t> </w:t>
      </w:r>
      <w:r>
        <w:rPr/>
        <w:t>en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data</w:t>
      </w:r>
      <w:r>
        <w:rPr>
          <w:spacing w:val="-9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signatura</w:t>
      </w:r>
      <w:r>
        <w:rPr>
          <w:spacing w:val="-10"/>
        </w:rPr>
        <w:t> </w:t>
      </w:r>
      <w:r>
        <w:rPr>
          <w:spacing w:val="-2"/>
        </w:rPr>
        <w:t>electrònica.</w:t>
      </w: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"/>
      </w:pPr>
      <w:r>
        <w:rPr>
          <w:spacing w:val="-2"/>
        </w:rPr>
        <w:t>Signat,</w:t>
      </w:r>
    </w:p>
    <w:sectPr>
      <w:pgSz w:w="11910" w:h="16840"/>
      <w:pgMar w:header="0" w:footer="592" w:top="460" w:bottom="7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Verdana">
    <w:altName w:val="Verdana"/>
    <w:charset w:val="1"/>
    <w:family w:val="swiss"/>
    <w:pitch w:val="variable"/>
  </w:font>
  <w:font w:name="Wingdings">
    <w:altName w:val="Wingdings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89024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827456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89536">
              <wp:simplePos x="0" y="0"/>
              <wp:positionH relativeFrom="page">
                <wp:posOffset>6188468</wp:posOffset>
              </wp:positionH>
              <wp:positionV relativeFrom="page">
                <wp:posOffset>10337327</wp:posOffset>
              </wp:positionV>
              <wp:extent cx="3054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054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6"/>
                            </w:rPr>
                            <w:t>46</w: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>/60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280975pt;margin-top:813.96283pt;width:24.05pt;height:10.95pt;mso-position-horizontal-relative:page;mso-position-vertical-relative:page;z-index:-15826944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spacing w:val="-2"/>
                        <w:sz w:val="16"/>
                      </w:rPr>
                      <w:instrText> PAGE </w:instrText>
                    </w:r>
                    <w:r>
                      <w:rPr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spacing w:val="-2"/>
                        <w:sz w:val="16"/>
                      </w:rPr>
                      <w:t>46</w:t>
                    </w:r>
                    <w:r>
                      <w:rPr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>/60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□"/>
      <w:lvlJc w:val="left"/>
      <w:pPr>
        <w:ind w:left="721" w:hanging="360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99"/>
        <w:sz w:val="44"/>
        <w:szCs w:val="44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512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305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098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890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683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476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268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61" w:hanging="360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"/>
      <w:lvlJc w:val="left"/>
      <w:pPr>
        <w:ind w:left="721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512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305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098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890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683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476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268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61" w:hanging="360"/>
      </w:pPr>
      <w:rPr>
        <w:rFonts w:hint="default"/>
        <w:lang w:val="ca-E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"/>
      <w:outlineLvl w:val="1"/>
    </w:pPr>
    <w:rPr>
      <w:rFonts w:ascii="Arial" w:hAnsi="Arial" w:eastAsia="Arial" w:cs="Arial"/>
      <w:b/>
      <w:bCs/>
      <w:sz w:val="20"/>
      <w:szCs w:val="20"/>
      <w:u w:val="single" w:color="00000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82"/>
      <w:ind w:left="1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721" w:right="139" w:hanging="360"/>
      <w:jc w:val="both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33"/>
    </w:pPr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2025-11-07T08:38:38Z</dcterms:created>
  <dcterms:modified xsi:type="dcterms:W3CDTF">2025-11-07T08:38:38Z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2025-11-07T00:00:00Z</vt:filetime>
  </property>
  <property fmtid="{D5CDD505-2E9C-101B-9397-08002B2CF9AE}" pid="3" name="LastSaved">
    <vt:filetime>2025-11-07T00:00:00Z</vt:filetime>
  </property>
  <property fmtid="{D5CDD505-2E9C-101B-9397-08002B2CF9AE}" pid="4" name="Producer">
    <vt:lpwstr>iLovePDF</vt:lpwstr>
  </property>
</Properties>
</file>