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  <w:spacing w:before="83"/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28"/>
        <w:rPr>
          <w:sz w:val="22"/>
        </w:rPr>
      </w:pPr>
    </w:p>
    <w:p>
      <w:pPr>
        <w:spacing w:before="1"/>
        <w:ind w:left="2" w:right="0" w:firstLine="0"/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MODEL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D’OFERTA</w:t>
      </w:r>
      <w:r>
        <w:rPr>
          <w:rFonts w:ascii="Arial" w:hAnsi="Arial"/>
          <w:b/>
          <w:spacing w:val="-9"/>
          <w:sz w:val="22"/>
        </w:rPr>
        <w:t> </w:t>
      </w:r>
      <w:r>
        <w:rPr>
          <w:rFonts w:ascii="Arial" w:hAnsi="Arial"/>
          <w:b/>
          <w:sz w:val="22"/>
        </w:rPr>
        <w:t>ECONÒMICA</w:t>
      </w:r>
      <w:r>
        <w:rPr>
          <w:rFonts w:ascii="Arial" w:hAnsi="Arial"/>
          <w:b/>
          <w:spacing w:val="-11"/>
          <w:sz w:val="22"/>
        </w:rPr>
        <w:t> </w:t>
      </w:r>
      <w:r>
        <w:rPr>
          <w:rFonts w:ascii="Arial" w:hAnsi="Arial"/>
          <w:b/>
          <w:sz w:val="22"/>
        </w:rPr>
        <w:t>PER</w:t>
      </w:r>
      <w:r>
        <w:rPr>
          <w:rFonts w:ascii="Arial" w:hAnsi="Arial"/>
          <w:b/>
          <w:spacing w:val="-4"/>
          <w:sz w:val="22"/>
        </w:rPr>
        <w:t> LOTS</w:t>
      </w:r>
    </w:p>
    <w:p>
      <w:pPr>
        <w:pStyle w:val="BodyText"/>
        <w:rPr>
          <w:sz w:val="22"/>
        </w:rPr>
      </w:pPr>
    </w:p>
    <w:p>
      <w:pPr>
        <w:pStyle w:val="BodyText"/>
        <w:spacing w:before="186"/>
        <w:rPr>
          <w:sz w:val="22"/>
        </w:rPr>
      </w:pPr>
    </w:p>
    <w:p>
      <w:pPr>
        <w:tabs>
          <w:tab w:pos="1417" w:val="left" w:leader="none"/>
          <w:tab w:pos="4958" w:val="left" w:leader="none"/>
        </w:tabs>
        <w:spacing w:before="0"/>
        <w:ind w:left="2" w:right="0" w:firstLine="0"/>
        <w:jc w:val="both"/>
        <w:rPr>
          <w:sz w:val="20"/>
        </w:rPr>
      </w:pPr>
      <w:r>
        <w:rPr>
          <w:spacing w:val="-2"/>
          <w:sz w:val="20"/>
        </w:rPr>
        <w:t>En/na</w:t>
      </w:r>
      <w:r>
        <w:rPr>
          <w:sz w:val="20"/>
        </w:rPr>
        <w:tab/>
        <w:t>,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2"/>
          <w:sz w:val="20"/>
        </w:rPr>
        <w:t> </w:t>
      </w:r>
      <w:r>
        <w:rPr>
          <w:sz w:val="20"/>
        </w:rPr>
        <w:t>NIF</w:t>
      </w:r>
      <w:r>
        <w:rPr>
          <w:spacing w:val="76"/>
          <w:sz w:val="20"/>
        </w:rPr>
        <w:t>    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en qualitat</w:t>
      </w:r>
      <w:r>
        <w:rPr>
          <w:spacing w:val="-2"/>
          <w:sz w:val="20"/>
        </w:rPr>
        <w:t> </w:t>
      </w:r>
      <w:r>
        <w:rPr>
          <w:spacing w:val="-5"/>
          <w:sz w:val="20"/>
        </w:rPr>
        <w:t>de</w:t>
      </w:r>
      <w:r>
        <w:rPr>
          <w:sz w:val="20"/>
        </w:rPr>
        <w:tab/>
        <w:t>i</w:t>
      </w:r>
      <w:r>
        <w:rPr>
          <w:spacing w:val="-7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nom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representació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societat</w:t>
      </w:r>
    </w:p>
    <w:p>
      <w:pPr>
        <w:tabs>
          <w:tab w:pos="4250" w:val="left" w:leader="none"/>
          <w:tab w:pos="5666" w:val="left" w:leader="none"/>
          <w:tab w:pos="7082" w:val="left" w:leader="none"/>
        </w:tabs>
        <w:spacing w:before="0"/>
        <w:ind w:left="2" w:right="12" w:firstLine="1415"/>
        <w:jc w:val="both"/>
        <w:rPr>
          <w:sz w:val="20"/>
        </w:rPr>
      </w:pPr>
      <w:r>
        <w:rPr>
          <w:sz w:val="20"/>
        </w:rPr>
        <w:t>, amb CIF .................... i domiciliada a</w:t>
        <w:tab/>
        <w:tab/>
        <w:t>, segons escriptura pública autoritzada davant Notari/a</w:t>
        <w:tab/>
        <w:t>, en data</w:t>
        <w:tab/>
        <w:t>i amb número de protocol</w:t>
      </w:r>
      <w:r>
        <w:rPr>
          <w:spacing w:val="80"/>
          <w:w w:val="150"/>
          <w:sz w:val="20"/>
        </w:rPr>
        <w:t>   </w:t>
      </w:r>
      <w:r>
        <w:rPr>
          <w:sz w:val="20"/>
        </w:rPr>
        <w:t>.</w:t>
      </w:r>
    </w:p>
    <w:p>
      <w:pPr>
        <w:tabs>
          <w:tab w:pos="4958" w:val="left" w:leader="none"/>
        </w:tabs>
        <w:spacing w:before="1"/>
        <w:ind w:left="2" w:right="10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Sabadell i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les condicions i</w:t>
      </w:r>
      <w:r>
        <w:rPr>
          <w:spacing w:val="-2"/>
          <w:sz w:val="20"/>
        </w:rPr>
        <w:t> </w:t>
      </w:r>
      <w:r>
        <w:rPr>
          <w:sz w:val="20"/>
        </w:rPr>
        <w:t>requisits que</w:t>
      </w:r>
      <w:r>
        <w:rPr>
          <w:spacing w:val="-1"/>
          <w:sz w:val="20"/>
        </w:rPr>
        <w:t> </w:t>
      </w:r>
      <w:r>
        <w:rPr>
          <w:sz w:val="20"/>
        </w:rPr>
        <w:t>s’exigeixen</w:t>
      </w:r>
      <w:r>
        <w:rPr>
          <w:spacing w:val="-2"/>
          <w:sz w:val="20"/>
        </w:rPr>
        <w:t> </w:t>
      </w:r>
      <w:r>
        <w:rPr>
          <w:sz w:val="20"/>
        </w:rPr>
        <w:t>per a</w:t>
      </w:r>
      <w:r>
        <w:rPr>
          <w:spacing w:val="-1"/>
          <w:sz w:val="20"/>
        </w:rPr>
        <w:t> </w:t>
      </w:r>
      <w:r>
        <w:rPr>
          <w:sz w:val="20"/>
        </w:rPr>
        <w:t>l’adjudicació</w:t>
      </w:r>
      <w:r>
        <w:rPr>
          <w:spacing w:val="-1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contracte anomenat </w:t>
      </w:r>
      <w:r>
        <w:rPr>
          <w:rFonts w:ascii="Arial" w:hAnsi="Arial"/>
          <w:b/>
          <w:sz w:val="22"/>
        </w:rPr>
        <w:t>“Subministrament de peces d’uniformitat i accessoris d‘uniformitat per a la Policia Municipal de Sabadell”</w:t>
      </w:r>
      <w:r>
        <w:rPr>
          <w:sz w:val="22"/>
        </w:rPr>
        <w:t>, </w:t>
      </w:r>
      <w:r>
        <w:rPr>
          <w:sz w:val="20"/>
        </w:rPr>
        <w:t>concorre a aquest procediment i es compromet, en cas de ser seleccionada la seva oferta, a l’execució del contracte amb estricta subjecció al projecte redactat a l’efecte i al plec de</w:t>
      </w:r>
      <w:r>
        <w:rPr>
          <w:spacing w:val="-1"/>
          <w:sz w:val="20"/>
        </w:rPr>
        <w:t> </w:t>
      </w:r>
      <w:r>
        <w:rPr>
          <w:sz w:val="20"/>
        </w:rPr>
        <w:t>clàusules administratives particulars.</w:t>
      </w:r>
    </w:p>
    <w:p>
      <w:pPr>
        <w:spacing w:line="240" w:lineRule="auto" w:before="226"/>
        <w:rPr>
          <w:sz w:val="20"/>
        </w:rPr>
      </w:pPr>
    </w:p>
    <w:p>
      <w:pPr>
        <w:pStyle w:val="Heading3"/>
        <w:numPr>
          <w:ilvl w:val="0"/>
          <w:numId w:val="1"/>
        </w:numPr>
        <w:tabs>
          <w:tab w:pos="708" w:val="left" w:leader="none"/>
        </w:tabs>
        <w:spacing w:line="240" w:lineRule="auto" w:before="0" w:after="0"/>
        <w:ind w:left="708" w:right="0" w:hanging="347"/>
        <w:jc w:val="left"/>
        <w:rPr>
          <w:rFonts w:ascii="Wingdings" w:hAnsi="Wingdings"/>
          <w:b w:val="0"/>
        </w:rPr>
      </w:pPr>
      <w:r>
        <w:rPr/>
        <w:t>Lot</w:t>
      </w:r>
      <w:r>
        <w:rPr>
          <w:spacing w:val="-6"/>
        </w:rPr>
        <w:t> </w:t>
      </w:r>
      <w:r>
        <w:rPr/>
        <w:t>1.</w:t>
      </w:r>
      <w:r>
        <w:rPr>
          <w:spacing w:val="-7"/>
        </w:rPr>
        <w:t> </w:t>
      </w:r>
      <w:r>
        <w:rPr/>
        <w:t>Vestuari</w:t>
      </w:r>
      <w:r>
        <w:rPr>
          <w:spacing w:val="-7"/>
        </w:rPr>
        <w:t> </w:t>
      </w:r>
      <w:r>
        <w:rPr/>
        <w:t>d’uniformitat</w:t>
      </w:r>
      <w:r>
        <w:rPr>
          <w:spacing w:val="-6"/>
        </w:rPr>
        <w:t> </w:t>
      </w:r>
      <w:r>
        <w:rPr>
          <w:spacing w:val="-2"/>
        </w:rPr>
        <w:t>policial.</w:t>
      </w:r>
    </w:p>
    <w:p>
      <w:pPr>
        <w:pStyle w:val="ListParagraph"/>
        <w:numPr>
          <w:ilvl w:val="0"/>
          <w:numId w:val="1"/>
        </w:numPr>
        <w:tabs>
          <w:tab w:pos="708" w:val="left" w:leader="none"/>
        </w:tabs>
        <w:spacing w:line="240" w:lineRule="auto" w:before="1" w:after="0"/>
        <w:ind w:left="708" w:right="0" w:hanging="347"/>
        <w:jc w:val="left"/>
        <w:rPr>
          <w:rFonts w:ascii="Wingdings" w:hAnsi="Wingdings"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accessoris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policia.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spacing w:before="1"/>
        <w:ind w:left="2" w:right="6" w:firstLine="0"/>
        <w:jc w:val="both"/>
        <w:rPr>
          <w:sz w:val="20"/>
        </w:rPr>
      </w:pPr>
      <w:r>
        <w:rPr>
          <w:sz w:val="20"/>
        </w:rPr>
        <w:t>En</w:t>
      </w:r>
      <w:r>
        <w:rPr>
          <w:spacing w:val="-13"/>
          <w:sz w:val="20"/>
        </w:rPr>
        <w:t> </w:t>
      </w:r>
      <w:r>
        <w:rPr>
          <w:sz w:val="20"/>
        </w:rPr>
        <w:t>relació</w:t>
      </w:r>
      <w:r>
        <w:rPr>
          <w:spacing w:val="-13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criteris</w:t>
      </w:r>
      <w:r>
        <w:rPr>
          <w:spacing w:val="-11"/>
          <w:sz w:val="20"/>
        </w:rPr>
        <w:t> </w:t>
      </w:r>
      <w:r>
        <w:rPr>
          <w:sz w:val="20"/>
        </w:rPr>
        <w:t>d’adjudicació</w:t>
      </w:r>
      <w:r>
        <w:rPr>
          <w:spacing w:val="-13"/>
          <w:sz w:val="20"/>
        </w:rPr>
        <w:t> </w:t>
      </w:r>
      <w:r>
        <w:rPr>
          <w:sz w:val="20"/>
        </w:rPr>
        <w:t>avaluables</w:t>
      </w:r>
      <w:r>
        <w:rPr>
          <w:spacing w:val="-11"/>
          <w:sz w:val="20"/>
        </w:rPr>
        <w:t> </w:t>
      </w:r>
      <w:r>
        <w:rPr>
          <w:sz w:val="20"/>
        </w:rPr>
        <w:t>mitjançant</w:t>
      </w:r>
      <w:r>
        <w:rPr>
          <w:spacing w:val="-13"/>
          <w:sz w:val="20"/>
        </w:rPr>
        <w:t> </w:t>
      </w:r>
      <w:r>
        <w:rPr>
          <w:sz w:val="20"/>
        </w:rPr>
        <w:t>l’aplicació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fórmules</w:t>
      </w:r>
      <w:r>
        <w:rPr>
          <w:spacing w:val="-8"/>
          <w:sz w:val="20"/>
        </w:rPr>
        <w:t> </w:t>
      </w:r>
      <w:r>
        <w:rPr>
          <w:sz w:val="20"/>
        </w:rPr>
        <w:t>que</w:t>
      </w:r>
      <w:r>
        <w:rPr>
          <w:spacing w:val="-13"/>
          <w:sz w:val="20"/>
        </w:rPr>
        <w:t> </w:t>
      </w:r>
      <w:r>
        <w:rPr>
          <w:sz w:val="20"/>
        </w:rPr>
        <w:t>preveu</w:t>
      </w:r>
      <w:r>
        <w:rPr>
          <w:spacing w:val="-14"/>
          <w:sz w:val="20"/>
        </w:rPr>
        <w:t> </w:t>
      </w:r>
      <w:r>
        <w:rPr>
          <w:sz w:val="20"/>
        </w:rPr>
        <w:t>el</w:t>
      </w:r>
      <w:r>
        <w:rPr>
          <w:spacing w:val="-14"/>
          <w:sz w:val="20"/>
        </w:rPr>
        <w:t> </w:t>
      </w:r>
      <w:r>
        <w:rPr>
          <w:sz w:val="20"/>
        </w:rPr>
        <w:t>Plec</w:t>
      </w:r>
      <w:r>
        <w:rPr>
          <w:spacing w:val="-10"/>
          <w:sz w:val="20"/>
        </w:rPr>
        <w:t> </w:t>
      </w:r>
      <w:r>
        <w:rPr>
          <w:sz w:val="20"/>
        </w:rPr>
        <w:t>de clàusules administratives particulars fa constar que l’oferta presentada es desglossa conforme el </w:t>
      </w:r>
      <w:r>
        <w:rPr>
          <w:spacing w:val="-2"/>
          <w:sz w:val="20"/>
        </w:rPr>
        <w:t>següent: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44"/>
        <w:rPr>
          <w:sz w:val="20"/>
        </w:rPr>
      </w:pPr>
    </w:p>
    <w:p>
      <w:pPr>
        <w:pStyle w:val="Heading1"/>
        <w:numPr>
          <w:ilvl w:val="0"/>
          <w:numId w:val="2"/>
        </w:numPr>
        <w:tabs>
          <w:tab w:pos="708" w:val="left" w:leader="none"/>
        </w:tabs>
        <w:spacing w:line="240" w:lineRule="auto" w:before="0" w:after="0"/>
        <w:ind w:left="708" w:right="0" w:hanging="347"/>
        <w:jc w:val="left"/>
        <w:rPr>
          <w:u w:val="none"/>
        </w:rPr>
      </w:pPr>
      <w:r>
        <w:rPr>
          <w:u w:val="single"/>
        </w:rPr>
        <w:t>LOT</w:t>
      </w:r>
      <w:r>
        <w:rPr>
          <w:spacing w:val="-5"/>
          <w:u w:val="single"/>
        </w:rPr>
        <w:t> </w:t>
      </w:r>
      <w:r>
        <w:rPr>
          <w:u w:val="single"/>
        </w:rPr>
        <w:t>1.</w:t>
      </w:r>
      <w:r>
        <w:rPr>
          <w:spacing w:val="-2"/>
          <w:u w:val="single"/>
        </w:rPr>
        <w:t> </w:t>
      </w:r>
      <w:r>
        <w:rPr>
          <w:u w:val="single"/>
        </w:rPr>
        <w:t>VESTUARI</w:t>
      </w:r>
      <w:r>
        <w:rPr>
          <w:spacing w:val="-3"/>
          <w:u w:val="single"/>
        </w:rPr>
        <w:t> </w:t>
      </w:r>
      <w:r>
        <w:rPr>
          <w:u w:val="single"/>
        </w:rPr>
        <w:t>D’UNIFORMITAT</w:t>
      </w:r>
      <w:r>
        <w:rPr>
          <w:spacing w:val="-2"/>
          <w:u w:val="single"/>
        </w:rPr>
        <w:t> POLICIAL.</w:t>
      </w:r>
    </w:p>
    <w:p>
      <w:pPr>
        <w:pStyle w:val="BodyText"/>
        <w:spacing w:before="22"/>
      </w:pPr>
    </w:p>
    <w:p>
      <w:pPr>
        <w:pStyle w:val="BodyText"/>
        <w:ind w:left="2"/>
      </w:pPr>
      <w:r>
        <w:rPr>
          <w:sz w:val="20"/>
          <w:u w:val="single"/>
        </w:rPr>
        <w:t>Criteri</w:t>
      </w:r>
      <w:r>
        <w:rPr>
          <w:spacing w:val="40"/>
          <w:sz w:val="20"/>
          <w:u w:val="single"/>
        </w:rPr>
        <w:t> </w:t>
      </w:r>
      <w:r>
        <w:rPr>
          <w:sz w:val="20"/>
          <w:u w:val="single"/>
        </w:rPr>
        <w:t>únic.</w:t>
      </w:r>
      <w:r>
        <w:rPr>
          <w:spacing w:val="40"/>
          <w:sz w:val="20"/>
          <w:u w:val="single"/>
        </w:rPr>
        <w:t> </w:t>
      </w:r>
      <w:r>
        <w:rPr>
          <w:u w:val="single"/>
        </w:rPr>
        <w:t>Percentatge</w:t>
      </w:r>
      <w:r>
        <w:rPr>
          <w:spacing w:val="40"/>
          <w:u w:val="single"/>
        </w:rPr>
        <w:t> </w:t>
      </w:r>
      <w:r>
        <w:rPr>
          <w:u w:val="single"/>
        </w:rPr>
        <w:t>(%)</w:t>
      </w:r>
      <w:r>
        <w:rPr>
          <w:spacing w:val="40"/>
          <w:u w:val="single"/>
        </w:rPr>
        <w:t> </w:t>
      </w:r>
      <w:r>
        <w:rPr>
          <w:u w:val="single"/>
        </w:rPr>
        <w:t>de</w:t>
      </w:r>
      <w:r>
        <w:rPr>
          <w:spacing w:val="40"/>
          <w:u w:val="single"/>
        </w:rPr>
        <w:t> </w:t>
      </w:r>
      <w:r>
        <w:rPr>
          <w:u w:val="single"/>
        </w:rPr>
        <w:t>baixa</w:t>
      </w:r>
      <w:r>
        <w:rPr>
          <w:spacing w:val="40"/>
          <w:u w:val="single"/>
        </w:rPr>
        <w:t> </w:t>
      </w:r>
      <w:r>
        <w:rPr>
          <w:u w:val="single"/>
        </w:rPr>
        <w:t>econòmica</w:t>
      </w:r>
      <w:r>
        <w:rPr>
          <w:spacing w:val="40"/>
          <w:u w:val="single"/>
        </w:rPr>
        <w:t> </w:t>
      </w:r>
      <w:r>
        <w:rPr>
          <w:u w:val="single"/>
        </w:rPr>
        <w:t>sobre</w:t>
      </w:r>
      <w:r>
        <w:rPr>
          <w:spacing w:val="40"/>
          <w:u w:val="single"/>
        </w:rPr>
        <w:t> </w:t>
      </w:r>
      <w:r>
        <w:rPr>
          <w:u w:val="single"/>
        </w:rPr>
        <w:t>els</w:t>
      </w:r>
      <w:r>
        <w:rPr>
          <w:spacing w:val="40"/>
          <w:u w:val="single"/>
        </w:rPr>
        <w:t> </w:t>
      </w:r>
      <w:r>
        <w:rPr>
          <w:u w:val="single"/>
        </w:rPr>
        <w:t>preus</w:t>
      </w:r>
      <w:r>
        <w:rPr>
          <w:spacing w:val="40"/>
          <w:u w:val="single"/>
        </w:rPr>
        <w:t> </w:t>
      </w:r>
      <w:r>
        <w:rPr>
          <w:u w:val="single"/>
        </w:rPr>
        <w:t>unitaris</w:t>
      </w:r>
      <w:r>
        <w:rPr>
          <w:spacing w:val="40"/>
          <w:u w:val="single"/>
        </w:rPr>
        <w:t> </w:t>
      </w:r>
      <w:r>
        <w:rPr>
          <w:u w:val="single"/>
        </w:rPr>
        <w:t>que</w:t>
      </w:r>
      <w:r>
        <w:rPr>
          <w:spacing w:val="40"/>
          <w:u w:val="single"/>
        </w:rPr>
        <w:t> </w:t>
      </w:r>
      <w:r>
        <w:rPr>
          <w:u w:val="single"/>
        </w:rPr>
        <w:t>s’estableixen</w:t>
      </w:r>
      <w:r>
        <w:rPr>
          <w:spacing w:val="40"/>
          <w:u w:val="single"/>
        </w:rPr>
        <w:t> </w:t>
      </w:r>
      <w:r>
        <w:rPr>
          <w:u w:val="single"/>
        </w:rPr>
        <w:t>en</w:t>
      </w:r>
      <w:r>
        <w:rPr/>
        <w:t> </w:t>
      </w:r>
      <w:r>
        <w:rPr>
          <w:u w:val="single"/>
        </w:rPr>
        <w:t>l’apartat 7 del Plec de Prescripcions Tècniques (fins a 100 punts).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  <w:tab w:pos="721" w:val="left" w:leader="none"/>
        </w:tabs>
        <w:spacing w:line="240" w:lineRule="auto" w:before="0" w:after="0"/>
        <w:ind w:left="721" w:right="523" w:hanging="360"/>
        <w:jc w:val="left"/>
        <w:rPr>
          <w:sz w:val="20"/>
        </w:rPr>
      </w:pPr>
      <w:r>
        <w:rPr>
          <w:sz w:val="20"/>
        </w:rPr>
        <w:t>Ofereix,</w:t>
      </w:r>
      <w:r>
        <w:rPr>
          <w:spacing w:val="-4"/>
          <w:sz w:val="20"/>
        </w:rPr>
        <w:t> </w:t>
      </w:r>
      <w:r>
        <w:rPr>
          <w:sz w:val="20"/>
        </w:rPr>
        <w:t>com a</w:t>
      </w:r>
      <w:r>
        <w:rPr>
          <w:spacing w:val="-7"/>
          <w:sz w:val="20"/>
        </w:rPr>
        <w:t> </w:t>
      </w:r>
      <w:r>
        <w:rPr>
          <w:sz w:val="20"/>
        </w:rPr>
        <w:t>millora</w:t>
      </w:r>
      <w:r>
        <w:rPr>
          <w:spacing w:val="-1"/>
          <w:sz w:val="20"/>
        </w:rPr>
        <w:t> </w:t>
      </w:r>
      <w:r>
        <w:rPr>
          <w:sz w:val="20"/>
        </w:rPr>
        <w:t>econòmica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següent</w:t>
      </w:r>
      <w:r>
        <w:rPr>
          <w:spacing w:val="-2"/>
          <w:sz w:val="20"/>
        </w:rPr>
        <w:t> </w:t>
      </w:r>
      <w:r>
        <w:rPr>
          <w:sz w:val="20"/>
        </w:rPr>
        <w:t>percentatge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baixa</w:t>
      </w:r>
      <w:r>
        <w:rPr>
          <w:spacing w:val="-4"/>
          <w:sz w:val="20"/>
        </w:rPr>
        <w:t> </w:t>
      </w:r>
      <w:r>
        <w:rPr>
          <w:sz w:val="20"/>
        </w:rPr>
        <w:t>global</w:t>
      </w:r>
      <w:r>
        <w:rPr>
          <w:spacing w:val="-5"/>
          <w:sz w:val="20"/>
        </w:rPr>
        <w:t> </w:t>
      </w:r>
      <w:r>
        <w:rPr>
          <w:sz w:val="20"/>
        </w:rPr>
        <w:t>sobre</w:t>
      </w:r>
      <w:r>
        <w:rPr>
          <w:spacing w:val="-4"/>
          <w:sz w:val="20"/>
        </w:rPr>
        <w:t> </w:t>
      </w:r>
      <w:r>
        <w:rPr>
          <w:sz w:val="20"/>
        </w:rPr>
        <w:t>tots</w:t>
      </w:r>
      <w:r>
        <w:rPr>
          <w:spacing w:val="-3"/>
          <w:sz w:val="20"/>
        </w:rPr>
        <w:t> </w:t>
      </w:r>
      <w:r>
        <w:rPr>
          <w:sz w:val="20"/>
        </w:rPr>
        <w:t>els preus unitaris que s’indiquen en l’apartat 7 del Plec de Prescripcions Tècniques:</w:t>
      </w:r>
    </w:p>
    <w:p>
      <w:pPr>
        <w:spacing w:line="240" w:lineRule="auto" w:before="121"/>
        <w:rPr>
          <w:sz w:val="20"/>
        </w:rPr>
      </w:pPr>
    </w:p>
    <w:p>
      <w:pPr>
        <w:pStyle w:val="ListParagraph"/>
        <w:numPr>
          <w:ilvl w:val="1"/>
          <w:numId w:val="3"/>
        </w:numPr>
        <w:tabs>
          <w:tab w:pos="1417" w:val="left" w:leader="none"/>
          <w:tab w:pos="1917" w:val="left" w:leader="none"/>
        </w:tabs>
        <w:spacing w:line="240" w:lineRule="auto" w:before="0" w:after="0"/>
        <w:ind w:left="1417" w:right="0" w:hanging="292"/>
        <w:jc w:val="left"/>
        <w:rPr>
          <w:sz w:val="20"/>
        </w:rPr>
      </w:pPr>
      <w:r>
        <w:rPr>
          <w:spacing w:val="53"/>
          <w:sz w:val="20"/>
          <w:u w:val="single"/>
        </w:rPr>
        <w:t>  </w:t>
      </w:r>
      <w:r>
        <w:rPr>
          <w:spacing w:val="-10"/>
          <w:sz w:val="20"/>
          <w:u w:val="single"/>
        </w:rPr>
        <w:t>,</w:t>
      </w:r>
      <w:r>
        <w:rPr>
          <w:sz w:val="20"/>
          <w:u w:val="single"/>
        </w:rPr>
        <w:tab/>
      </w:r>
      <w:r>
        <w:rPr>
          <w:sz w:val="20"/>
        </w:rPr>
        <w:t> % de baixa global.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8"/>
        <w:rPr>
          <w:sz w:val="20"/>
        </w:rPr>
      </w:pPr>
    </w:p>
    <w:p>
      <w:pPr>
        <w:pStyle w:val="BodyText"/>
        <w:ind w:left="2"/>
      </w:pPr>
      <w:r>
        <w:rPr/>
        <w:t>En els casos que no es vulgui fer baixa, caldrà posar un percentatge de baixa de zero (0%) i s’atorgarà una puntuació de 0 punts en cas de no oferir baixa econòmica.</w:t>
      </w:r>
    </w:p>
    <w:p>
      <w:pPr>
        <w:pStyle w:val="BodyText"/>
        <w:spacing w:before="1"/>
      </w:pPr>
    </w:p>
    <w:p>
      <w:pPr>
        <w:pStyle w:val="BodyText"/>
        <w:ind w:left="2"/>
      </w:pPr>
      <w:r>
        <w:rPr/>
        <w:t>En</w:t>
      </w:r>
      <w:r>
        <w:rPr>
          <w:spacing w:val="19"/>
        </w:rPr>
        <w:t> </w:t>
      </w:r>
      <w:r>
        <w:rPr/>
        <w:t>cas</w:t>
      </w:r>
      <w:r>
        <w:rPr>
          <w:spacing w:val="19"/>
        </w:rPr>
        <w:t> </w:t>
      </w:r>
      <w:r>
        <w:rPr/>
        <w:t>que</w:t>
      </w:r>
      <w:r>
        <w:rPr>
          <w:spacing w:val="20"/>
        </w:rPr>
        <w:t> </w:t>
      </w:r>
      <w:r>
        <w:rPr/>
        <w:t>la</w:t>
      </w:r>
      <w:r>
        <w:rPr>
          <w:spacing w:val="19"/>
        </w:rPr>
        <w:t> </w:t>
      </w:r>
      <w:r>
        <w:rPr/>
        <w:t>casella</w:t>
      </w:r>
      <w:r>
        <w:rPr>
          <w:spacing w:val="19"/>
        </w:rPr>
        <w:t> </w:t>
      </w:r>
      <w:r>
        <w:rPr/>
        <w:t>resti</w:t>
      </w:r>
      <w:r>
        <w:rPr>
          <w:spacing w:val="17"/>
        </w:rPr>
        <w:t> </w:t>
      </w:r>
      <w:r>
        <w:rPr/>
        <w:t>en</w:t>
      </w:r>
      <w:r>
        <w:rPr>
          <w:spacing w:val="19"/>
        </w:rPr>
        <w:t> </w:t>
      </w:r>
      <w:r>
        <w:rPr/>
        <w:t>blanc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consti</w:t>
      </w:r>
      <w:r>
        <w:rPr>
          <w:spacing w:val="19"/>
        </w:rPr>
        <w:t> </w:t>
      </w:r>
      <w:r>
        <w:rPr/>
        <w:t>un</w:t>
      </w:r>
      <w:r>
        <w:rPr>
          <w:spacing w:val="18"/>
        </w:rPr>
        <w:t> </w:t>
      </w:r>
      <w:r>
        <w:rPr/>
        <w:t>zero</w:t>
      </w:r>
      <w:r>
        <w:rPr>
          <w:spacing w:val="19"/>
        </w:rPr>
        <w:t> </w:t>
      </w:r>
      <w:r>
        <w:rPr/>
        <w:t>es</w:t>
      </w:r>
      <w:r>
        <w:rPr>
          <w:spacing w:val="19"/>
        </w:rPr>
        <w:t> </w:t>
      </w:r>
      <w:r>
        <w:rPr/>
        <w:t>considerarà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no</w:t>
      </w:r>
      <w:r>
        <w:rPr>
          <w:spacing w:val="19"/>
        </w:rPr>
        <w:t> </w:t>
      </w:r>
      <w:r>
        <w:rPr/>
        <w:t>s’ofereix</w:t>
      </w:r>
      <w:r>
        <w:rPr>
          <w:spacing w:val="19"/>
        </w:rPr>
        <w:t> </w:t>
      </w:r>
      <w:r>
        <w:rPr/>
        <w:t>percentatge</w:t>
      </w:r>
      <w:r>
        <w:rPr>
          <w:spacing w:val="19"/>
        </w:rPr>
        <w:t> </w:t>
      </w:r>
      <w:r>
        <w:rPr/>
        <w:t>de baixa econòmica i per tant es puntuarà amb 0 punts.</w:t>
      </w:r>
    </w:p>
    <w:p>
      <w:pPr>
        <w:pStyle w:val="BodyText"/>
        <w:spacing w:after="0"/>
        <w:sectPr>
          <w:headerReference w:type="default" r:id="rId5"/>
          <w:type w:val="continuous"/>
          <w:pgSz w:w="11910" w:h="16840"/>
          <w:pgMar w:header="885" w:footer="0" w:top="1880" w:bottom="280" w:left="1700" w:right="1275"/>
          <w:pgNumType w:start="1"/>
        </w:sectPr>
      </w:pPr>
    </w:p>
    <w:p>
      <w:pPr>
        <w:pStyle w:val="BodyText"/>
        <w:spacing w:before="266"/>
        <w:rPr>
          <w:sz w:val="24"/>
        </w:rPr>
      </w:pPr>
    </w:p>
    <w:p>
      <w:pPr>
        <w:pStyle w:val="Heading1"/>
        <w:numPr>
          <w:ilvl w:val="0"/>
          <w:numId w:val="2"/>
        </w:numPr>
        <w:tabs>
          <w:tab w:pos="708" w:val="left" w:leader="none"/>
        </w:tabs>
        <w:spacing w:line="240" w:lineRule="auto" w:before="0" w:after="0"/>
        <w:ind w:left="708" w:right="0" w:hanging="347"/>
        <w:jc w:val="left"/>
        <w:rPr>
          <w:u w:val="none"/>
        </w:rPr>
      </w:pPr>
      <w:r>
        <w:rPr>
          <w:u w:val="single"/>
        </w:rPr>
        <w:t>LOT</w:t>
      </w:r>
      <w:r>
        <w:rPr>
          <w:spacing w:val="-4"/>
          <w:u w:val="single"/>
        </w:rPr>
        <w:t> </w:t>
      </w:r>
      <w:r>
        <w:rPr>
          <w:u w:val="single"/>
        </w:rPr>
        <w:t>2.</w:t>
      </w:r>
      <w:r>
        <w:rPr>
          <w:spacing w:val="-4"/>
          <w:u w:val="single"/>
        </w:rPr>
        <w:t> </w:t>
      </w:r>
      <w:r>
        <w:rPr>
          <w:u w:val="single"/>
        </w:rPr>
        <w:t>MATERIAL</w:t>
      </w:r>
      <w:r>
        <w:rPr>
          <w:spacing w:val="-4"/>
          <w:u w:val="single"/>
        </w:rPr>
        <w:t> </w:t>
      </w:r>
      <w:r>
        <w:rPr>
          <w:u w:val="single"/>
        </w:rPr>
        <w:t>I</w:t>
      </w:r>
      <w:r>
        <w:rPr>
          <w:spacing w:val="1"/>
          <w:u w:val="single"/>
        </w:rPr>
        <w:t> </w:t>
      </w:r>
      <w:r>
        <w:rPr>
          <w:u w:val="single"/>
        </w:rPr>
        <w:t>ACCESSORIS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6"/>
          <w:u w:val="single"/>
        </w:rPr>
        <w:t> </w:t>
      </w:r>
      <w:r>
        <w:rPr>
          <w:spacing w:val="-2"/>
          <w:u w:val="single"/>
        </w:rPr>
        <w:t>POLICIA.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0"/>
        <w:ind w:left="2" w:right="0" w:firstLine="0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20"/>
          <w:u w:val="single"/>
        </w:rPr>
        <w:t>Criteri 1.</w:t>
      </w:r>
      <w:r>
        <w:rPr>
          <w:rFonts w:ascii="Arial" w:hAnsi="Arial"/>
          <w:b/>
          <w:spacing w:val="1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Percentatge (%)</w:t>
      </w:r>
      <w:r>
        <w:rPr>
          <w:rFonts w:ascii="Arial" w:hAnsi="Arial"/>
          <w:b/>
          <w:spacing w:val="21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 baixa econòmica sobre</w:t>
      </w:r>
      <w:r>
        <w:rPr>
          <w:rFonts w:ascii="Arial" w:hAnsi="Arial"/>
          <w:b/>
          <w:spacing w:val="2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els preus</w:t>
      </w:r>
      <w:r>
        <w:rPr>
          <w:rFonts w:ascii="Arial" w:hAnsi="Arial"/>
          <w:b/>
          <w:spacing w:val="20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unitaris que s’estableixen</w:t>
      </w:r>
      <w:r>
        <w:rPr>
          <w:rFonts w:ascii="Arial" w:hAnsi="Arial"/>
          <w:b/>
          <w:spacing w:val="23"/>
          <w:sz w:val="20"/>
          <w:u w:val="single"/>
        </w:rPr>
        <w:t> </w:t>
      </w: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z w:val="18"/>
        </w:rPr>
        <w:t> </w:t>
      </w:r>
      <w:r>
        <w:rPr>
          <w:rFonts w:ascii="Arial" w:hAnsi="Arial"/>
          <w:b/>
          <w:sz w:val="18"/>
          <w:u w:val="single"/>
        </w:rPr>
        <w:t>l’apartat 7 del Plec de Prescripcions Tècniques (fins a 80 punts):</w:t>
      </w:r>
    </w:p>
    <w:p>
      <w:pPr>
        <w:spacing w:before="0"/>
        <w:ind w:left="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color w:val="0000FF"/>
          <w:spacing w:val="-10"/>
          <w:sz w:val="20"/>
        </w:rPr>
        <w:t>.</w:t>
      </w:r>
    </w:p>
    <w:p>
      <w:pPr>
        <w:pStyle w:val="BodyText"/>
        <w:spacing w:before="3"/>
        <w:rPr>
          <w:sz w:val="20"/>
        </w:rPr>
      </w:pPr>
    </w:p>
    <w:p>
      <w:pPr>
        <w:pStyle w:val="ListParagraph"/>
        <w:numPr>
          <w:ilvl w:val="0"/>
          <w:numId w:val="3"/>
        </w:numPr>
        <w:tabs>
          <w:tab w:pos="709" w:val="left" w:leader="none"/>
          <w:tab w:pos="721" w:val="left" w:leader="none"/>
        </w:tabs>
        <w:spacing w:line="240" w:lineRule="auto" w:before="0" w:after="0"/>
        <w:ind w:left="721" w:right="523" w:hanging="360"/>
        <w:jc w:val="left"/>
        <w:rPr>
          <w:sz w:val="20"/>
        </w:rPr>
      </w:pPr>
      <w:r>
        <w:rPr>
          <w:sz w:val="20"/>
        </w:rPr>
        <w:t>Ofereix,</w:t>
      </w:r>
      <w:r>
        <w:rPr>
          <w:spacing w:val="-3"/>
          <w:sz w:val="20"/>
        </w:rPr>
        <w:t> </w:t>
      </w:r>
      <w:r>
        <w:rPr>
          <w:sz w:val="20"/>
        </w:rPr>
        <w:t>com a</w:t>
      </w:r>
      <w:r>
        <w:rPr>
          <w:spacing w:val="-7"/>
          <w:sz w:val="20"/>
        </w:rPr>
        <w:t> </w:t>
      </w:r>
      <w:r>
        <w:rPr>
          <w:sz w:val="20"/>
        </w:rPr>
        <w:t>millora</w:t>
      </w:r>
      <w:r>
        <w:rPr>
          <w:spacing w:val="-1"/>
          <w:sz w:val="20"/>
        </w:rPr>
        <w:t> </w:t>
      </w:r>
      <w:r>
        <w:rPr>
          <w:sz w:val="20"/>
        </w:rPr>
        <w:t>econòmica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següent</w:t>
      </w:r>
      <w:r>
        <w:rPr>
          <w:spacing w:val="-2"/>
          <w:sz w:val="20"/>
        </w:rPr>
        <w:t> </w:t>
      </w:r>
      <w:r>
        <w:rPr>
          <w:sz w:val="20"/>
        </w:rPr>
        <w:t>percentatge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baixa</w:t>
      </w:r>
      <w:r>
        <w:rPr>
          <w:spacing w:val="-4"/>
          <w:sz w:val="20"/>
        </w:rPr>
        <w:t> </w:t>
      </w:r>
      <w:r>
        <w:rPr>
          <w:sz w:val="20"/>
        </w:rPr>
        <w:t>global</w:t>
      </w:r>
      <w:r>
        <w:rPr>
          <w:spacing w:val="-5"/>
          <w:sz w:val="20"/>
        </w:rPr>
        <w:t> </w:t>
      </w:r>
      <w:r>
        <w:rPr>
          <w:sz w:val="20"/>
        </w:rPr>
        <w:t>sobre</w:t>
      </w:r>
      <w:r>
        <w:rPr>
          <w:spacing w:val="-4"/>
          <w:sz w:val="20"/>
        </w:rPr>
        <w:t> </w:t>
      </w:r>
      <w:r>
        <w:rPr>
          <w:sz w:val="20"/>
        </w:rPr>
        <w:t>tots</w:t>
      </w:r>
      <w:r>
        <w:rPr>
          <w:spacing w:val="-3"/>
          <w:sz w:val="20"/>
        </w:rPr>
        <w:t> </w:t>
      </w:r>
      <w:r>
        <w:rPr>
          <w:sz w:val="20"/>
        </w:rPr>
        <w:t>els preus unitaris que s’indiquen en l’apartat 7 del Plec de Prescripcions Tècniques:</w:t>
      </w:r>
    </w:p>
    <w:p>
      <w:pPr>
        <w:spacing w:line="240" w:lineRule="auto" w:before="119"/>
        <w:rPr>
          <w:sz w:val="20"/>
        </w:rPr>
      </w:pPr>
    </w:p>
    <w:p>
      <w:pPr>
        <w:pStyle w:val="ListParagraph"/>
        <w:numPr>
          <w:ilvl w:val="1"/>
          <w:numId w:val="3"/>
        </w:numPr>
        <w:tabs>
          <w:tab w:pos="1417" w:val="left" w:leader="none"/>
          <w:tab w:pos="1917" w:val="left" w:leader="none"/>
        </w:tabs>
        <w:spacing w:line="240" w:lineRule="auto" w:before="1" w:after="0"/>
        <w:ind w:left="1417" w:right="0" w:hanging="292"/>
        <w:jc w:val="left"/>
        <w:rPr>
          <w:sz w:val="20"/>
        </w:rPr>
      </w:pPr>
      <w:r>
        <w:rPr>
          <w:spacing w:val="53"/>
          <w:sz w:val="20"/>
          <w:u w:val="single"/>
        </w:rPr>
        <w:t>  </w:t>
      </w:r>
      <w:r>
        <w:rPr>
          <w:spacing w:val="-10"/>
          <w:sz w:val="20"/>
          <w:u w:val="single"/>
        </w:rPr>
        <w:t>,</w:t>
      </w:r>
      <w:r>
        <w:rPr>
          <w:sz w:val="20"/>
          <w:u w:val="single"/>
        </w:rPr>
        <w:tab/>
      </w:r>
      <w:r>
        <w:rPr>
          <w:sz w:val="20"/>
        </w:rPr>
        <w:t> % de baixa global.</w:t>
      </w:r>
    </w:p>
    <w:p>
      <w:pPr>
        <w:spacing w:line="240" w:lineRule="auto" w:before="228"/>
        <w:rPr>
          <w:sz w:val="20"/>
        </w:rPr>
      </w:pPr>
    </w:p>
    <w:p>
      <w:pPr>
        <w:pStyle w:val="BodyText"/>
        <w:ind w:left="2" w:right="9"/>
      </w:pPr>
      <w:r>
        <w:rPr/>
        <w:t>En els casos que no es vulgui fer baixa, caldrà posar un percentatge de baixa de zero (0%) i s’atorgarà una puntuació de 0 punts en cas de no oferir baixa econòmica.</w:t>
      </w:r>
    </w:p>
    <w:p>
      <w:pPr>
        <w:pStyle w:val="BodyText"/>
        <w:spacing w:before="205"/>
        <w:ind w:left="2"/>
      </w:pPr>
      <w:r>
        <w:rPr/>
        <w:t>En</w:t>
      </w:r>
      <w:r>
        <w:rPr>
          <w:spacing w:val="19"/>
        </w:rPr>
        <w:t> </w:t>
      </w:r>
      <w:r>
        <w:rPr/>
        <w:t>cas</w:t>
      </w:r>
      <w:r>
        <w:rPr>
          <w:spacing w:val="19"/>
        </w:rPr>
        <w:t> </w:t>
      </w:r>
      <w:r>
        <w:rPr/>
        <w:t>que</w:t>
      </w:r>
      <w:r>
        <w:rPr>
          <w:spacing w:val="20"/>
        </w:rPr>
        <w:t> </w:t>
      </w:r>
      <w:r>
        <w:rPr/>
        <w:t>la</w:t>
      </w:r>
      <w:r>
        <w:rPr>
          <w:spacing w:val="19"/>
        </w:rPr>
        <w:t> </w:t>
      </w:r>
      <w:r>
        <w:rPr/>
        <w:t>casella</w:t>
      </w:r>
      <w:r>
        <w:rPr>
          <w:spacing w:val="19"/>
        </w:rPr>
        <w:t> </w:t>
      </w:r>
      <w:r>
        <w:rPr/>
        <w:t>resti</w:t>
      </w:r>
      <w:r>
        <w:rPr>
          <w:spacing w:val="17"/>
        </w:rPr>
        <w:t> </w:t>
      </w:r>
      <w:r>
        <w:rPr/>
        <w:t>en</w:t>
      </w:r>
      <w:r>
        <w:rPr>
          <w:spacing w:val="19"/>
        </w:rPr>
        <w:t> </w:t>
      </w:r>
      <w:r>
        <w:rPr/>
        <w:t>blanc</w:t>
      </w:r>
      <w:r>
        <w:rPr>
          <w:spacing w:val="19"/>
        </w:rPr>
        <w:t> </w:t>
      </w:r>
      <w:r>
        <w:rPr/>
        <w:t>o</w:t>
      </w:r>
      <w:r>
        <w:rPr>
          <w:spacing w:val="19"/>
        </w:rPr>
        <w:t> </w:t>
      </w:r>
      <w:r>
        <w:rPr/>
        <w:t>consti</w:t>
      </w:r>
      <w:r>
        <w:rPr>
          <w:spacing w:val="19"/>
        </w:rPr>
        <w:t> </w:t>
      </w:r>
      <w:r>
        <w:rPr/>
        <w:t>un</w:t>
      </w:r>
      <w:r>
        <w:rPr>
          <w:spacing w:val="18"/>
        </w:rPr>
        <w:t> </w:t>
      </w:r>
      <w:r>
        <w:rPr/>
        <w:t>zero</w:t>
      </w:r>
      <w:r>
        <w:rPr>
          <w:spacing w:val="19"/>
        </w:rPr>
        <w:t> </w:t>
      </w:r>
      <w:r>
        <w:rPr/>
        <w:t>es</w:t>
      </w:r>
      <w:r>
        <w:rPr>
          <w:spacing w:val="19"/>
        </w:rPr>
        <w:t> </w:t>
      </w:r>
      <w:r>
        <w:rPr/>
        <w:t>considerarà</w:t>
      </w:r>
      <w:r>
        <w:rPr>
          <w:spacing w:val="19"/>
        </w:rPr>
        <w:t> </w:t>
      </w:r>
      <w:r>
        <w:rPr/>
        <w:t>que</w:t>
      </w:r>
      <w:r>
        <w:rPr>
          <w:spacing w:val="19"/>
        </w:rPr>
        <w:t> </w:t>
      </w:r>
      <w:r>
        <w:rPr/>
        <w:t>no</w:t>
      </w:r>
      <w:r>
        <w:rPr>
          <w:spacing w:val="19"/>
        </w:rPr>
        <w:t> </w:t>
      </w:r>
      <w:r>
        <w:rPr/>
        <w:t>s’ofereix</w:t>
      </w:r>
      <w:r>
        <w:rPr>
          <w:spacing w:val="19"/>
        </w:rPr>
        <w:t> </w:t>
      </w:r>
      <w:r>
        <w:rPr/>
        <w:t>percentatge</w:t>
      </w:r>
      <w:r>
        <w:rPr>
          <w:spacing w:val="19"/>
        </w:rPr>
        <w:t> </w:t>
      </w:r>
      <w:r>
        <w:rPr/>
        <w:t>de baixa econòmica i per tant es puntuarà amb 0 punts.</w:t>
      </w: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ind w:left="2"/>
      </w:pPr>
      <w:r>
        <w:rPr>
          <w:sz w:val="20"/>
          <w:u w:val="single"/>
        </w:rPr>
        <w:t>Criteri 2. </w:t>
      </w:r>
      <w:r>
        <w:rPr>
          <w:u w:val="single"/>
        </w:rPr>
        <w:t>Millora en el termini de lliurament dels productes a subministrar a partir de la sol·licitud del</w:t>
      </w:r>
      <w:r>
        <w:rPr/>
        <w:t> </w:t>
      </w:r>
      <w:r>
        <w:rPr>
          <w:u w:val="single"/>
        </w:rPr>
        <w:t>servei a l’empresa adjudicatària (fins a 20 punts):</w:t>
      </w:r>
    </w:p>
    <w:p>
      <w:pPr>
        <w:pStyle w:val="BodyText"/>
        <w:spacing w:before="6"/>
      </w:pPr>
    </w:p>
    <w:p>
      <w:pPr>
        <w:spacing w:before="0"/>
        <w:ind w:left="2" w:right="6" w:firstLine="0"/>
        <w:jc w:val="left"/>
        <w:rPr>
          <w:sz w:val="18"/>
        </w:rPr>
      </w:pPr>
      <w:r>
        <w:rPr>
          <w:sz w:val="18"/>
        </w:rPr>
        <w:t>Segons l’apartat 9 del plec de prescripcions tècniques, els productes s’hauran de subministrar,</w:t>
      </w:r>
      <w:r>
        <w:rPr>
          <w:spacing w:val="21"/>
          <w:sz w:val="18"/>
        </w:rPr>
        <w:t> </w:t>
      </w:r>
      <w:r>
        <w:rPr>
          <w:sz w:val="18"/>
        </w:rPr>
        <w:t>com a màxim, en el termini de 60 dies naturals a partir de la sol·licitud de l’Ajuntament de Sabadell a l’empresa adjudicatària.</w:t>
      </w:r>
    </w:p>
    <w:p>
      <w:pPr>
        <w:pStyle w:val="ListParagraph"/>
        <w:numPr>
          <w:ilvl w:val="0"/>
          <w:numId w:val="1"/>
        </w:numPr>
        <w:tabs>
          <w:tab w:pos="708" w:val="left" w:leader="none"/>
          <w:tab w:pos="4552" w:val="left" w:leader="dot"/>
        </w:tabs>
        <w:spacing w:line="240" w:lineRule="auto" w:before="206" w:after="0"/>
        <w:ind w:left="708" w:right="0" w:hanging="347"/>
        <w:jc w:val="left"/>
        <w:rPr>
          <w:rFonts w:ascii="Wingdings" w:hAnsi="Wingdings"/>
          <w:sz w:val="18"/>
        </w:rPr>
      </w:pPr>
      <w:r>
        <w:rPr>
          <w:sz w:val="18"/>
        </w:rPr>
        <w:t>Entre</w:t>
      </w:r>
      <w:r>
        <w:rPr>
          <w:spacing w:val="-4"/>
          <w:sz w:val="18"/>
        </w:rPr>
        <w:t> </w:t>
      </w:r>
      <w:r>
        <w:rPr>
          <w:sz w:val="18"/>
        </w:rPr>
        <w:t>5</w:t>
      </w:r>
      <w:r>
        <w:rPr>
          <w:spacing w:val="-4"/>
          <w:sz w:val="18"/>
        </w:rPr>
        <w:t> </w:t>
      </w:r>
      <w:r>
        <w:rPr>
          <w:sz w:val="18"/>
        </w:rPr>
        <w:t>i</w:t>
      </w:r>
      <w:r>
        <w:rPr>
          <w:spacing w:val="-1"/>
          <w:sz w:val="18"/>
        </w:rPr>
        <w:t> </w:t>
      </w:r>
      <w:r>
        <w:rPr>
          <w:sz w:val="18"/>
        </w:rPr>
        <w:t>10</w:t>
      </w:r>
      <w:r>
        <w:rPr>
          <w:spacing w:val="-4"/>
          <w:sz w:val="18"/>
        </w:rPr>
        <w:t> </w:t>
      </w:r>
      <w:r>
        <w:rPr>
          <w:sz w:val="18"/>
        </w:rPr>
        <w:t>dies </w:t>
      </w:r>
      <w:r>
        <w:rPr>
          <w:spacing w:val="-2"/>
          <w:sz w:val="18"/>
        </w:rPr>
        <w:t>naturals</w:t>
      </w:r>
      <w:r>
        <w:rPr>
          <w:sz w:val="18"/>
        </w:rPr>
        <w:tab/>
        <w:t>20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punts</w:t>
      </w:r>
    </w:p>
    <w:p>
      <w:pPr>
        <w:pStyle w:val="ListParagraph"/>
        <w:numPr>
          <w:ilvl w:val="0"/>
          <w:numId w:val="1"/>
        </w:numPr>
        <w:tabs>
          <w:tab w:pos="708" w:val="left" w:leader="none"/>
          <w:tab w:pos="4552" w:val="left" w:leader="dot"/>
        </w:tabs>
        <w:spacing w:line="207" w:lineRule="exact" w:before="2" w:after="0"/>
        <w:ind w:left="708" w:right="0" w:hanging="347"/>
        <w:jc w:val="left"/>
        <w:rPr>
          <w:rFonts w:ascii="Wingdings" w:hAnsi="Wingdings"/>
          <w:sz w:val="18"/>
        </w:rPr>
      </w:pPr>
      <w:r>
        <w:rPr>
          <w:sz w:val="18"/>
        </w:rPr>
        <w:t>Entre</w:t>
      </w:r>
      <w:r>
        <w:rPr>
          <w:spacing w:val="-5"/>
          <w:sz w:val="18"/>
        </w:rPr>
        <w:t> </w:t>
      </w:r>
      <w:r>
        <w:rPr>
          <w:sz w:val="18"/>
        </w:rPr>
        <w:t>11</w:t>
      </w:r>
      <w:r>
        <w:rPr>
          <w:spacing w:val="-4"/>
          <w:sz w:val="18"/>
        </w:rPr>
        <w:t> </w:t>
      </w:r>
      <w:r>
        <w:rPr>
          <w:sz w:val="18"/>
        </w:rPr>
        <w:t>i</w:t>
      </w:r>
      <w:r>
        <w:rPr>
          <w:spacing w:val="-1"/>
          <w:sz w:val="18"/>
        </w:rPr>
        <w:t> </w:t>
      </w:r>
      <w:r>
        <w:rPr>
          <w:sz w:val="18"/>
        </w:rPr>
        <w:t>20</w:t>
      </w:r>
      <w:r>
        <w:rPr>
          <w:spacing w:val="-2"/>
          <w:sz w:val="18"/>
        </w:rPr>
        <w:t> </w:t>
      </w:r>
      <w:r>
        <w:rPr>
          <w:sz w:val="18"/>
        </w:rPr>
        <w:t>dies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naturals</w:t>
      </w:r>
      <w:r>
        <w:rPr>
          <w:sz w:val="18"/>
        </w:rPr>
        <w:tab/>
        <w:t>15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punts</w:t>
      </w:r>
    </w:p>
    <w:p>
      <w:pPr>
        <w:pStyle w:val="ListParagraph"/>
        <w:numPr>
          <w:ilvl w:val="0"/>
          <w:numId w:val="1"/>
        </w:numPr>
        <w:tabs>
          <w:tab w:pos="708" w:val="left" w:leader="none"/>
          <w:tab w:pos="4552" w:val="left" w:leader="dot"/>
        </w:tabs>
        <w:spacing w:line="206" w:lineRule="exact" w:before="0" w:after="0"/>
        <w:ind w:left="708" w:right="0" w:hanging="347"/>
        <w:jc w:val="left"/>
        <w:rPr>
          <w:rFonts w:ascii="Wingdings" w:hAnsi="Wingdings"/>
          <w:sz w:val="18"/>
        </w:rPr>
      </w:pPr>
      <w:r>
        <w:rPr>
          <w:sz w:val="18"/>
        </w:rPr>
        <w:t>Entre</w:t>
      </w:r>
      <w:r>
        <w:rPr>
          <w:spacing w:val="-5"/>
          <w:sz w:val="18"/>
        </w:rPr>
        <w:t> </w:t>
      </w:r>
      <w:r>
        <w:rPr>
          <w:sz w:val="18"/>
        </w:rPr>
        <w:t>21</w:t>
      </w:r>
      <w:r>
        <w:rPr>
          <w:spacing w:val="-4"/>
          <w:sz w:val="18"/>
        </w:rPr>
        <w:t> </w:t>
      </w:r>
      <w:r>
        <w:rPr>
          <w:sz w:val="18"/>
        </w:rPr>
        <w:t>i</w:t>
      </w:r>
      <w:r>
        <w:rPr>
          <w:spacing w:val="-1"/>
          <w:sz w:val="18"/>
        </w:rPr>
        <w:t> </w:t>
      </w:r>
      <w:r>
        <w:rPr>
          <w:sz w:val="18"/>
        </w:rPr>
        <w:t>30</w:t>
      </w:r>
      <w:r>
        <w:rPr>
          <w:spacing w:val="-2"/>
          <w:sz w:val="18"/>
        </w:rPr>
        <w:t> </w:t>
      </w:r>
      <w:r>
        <w:rPr>
          <w:sz w:val="18"/>
        </w:rPr>
        <w:t>dies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naturals</w:t>
      </w:r>
      <w:r>
        <w:rPr>
          <w:sz w:val="18"/>
        </w:rPr>
        <w:tab/>
        <w:t>10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punts</w:t>
      </w:r>
    </w:p>
    <w:p>
      <w:pPr>
        <w:pStyle w:val="ListParagraph"/>
        <w:numPr>
          <w:ilvl w:val="0"/>
          <w:numId w:val="1"/>
        </w:numPr>
        <w:tabs>
          <w:tab w:pos="708" w:val="left" w:leader="none"/>
          <w:tab w:pos="4653" w:val="left" w:leader="dot"/>
        </w:tabs>
        <w:spacing w:line="207" w:lineRule="exact" w:before="0" w:after="0"/>
        <w:ind w:left="708" w:right="0" w:hanging="347"/>
        <w:jc w:val="left"/>
        <w:rPr>
          <w:rFonts w:ascii="Wingdings" w:hAnsi="Wingdings"/>
          <w:sz w:val="18"/>
        </w:rPr>
      </w:pPr>
      <w:r>
        <w:rPr>
          <w:sz w:val="18"/>
        </w:rPr>
        <w:t>No</w:t>
      </w:r>
      <w:r>
        <w:rPr>
          <w:spacing w:val="-3"/>
          <w:sz w:val="18"/>
        </w:rPr>
        <w:t> </w:t>
      </w:r>
      <w:r>
        <w:rPr>
          <w:sz w:val="18"/>
        </w:rPr>
        <w:t>ofereix</w:t>
      </w:r>
      <w:r>
        <w:rPr>
          <w:spacing w:val="-6"/>
          <w:sz w:val="18"/>
        </w:rPr>
        <w:t> </w:t>
      </w:r>
      <w:r>
        <w:rPr>
          <w:sz w:val="18"/>
        </w:rPr>
        <w:t>millora</w:t>
      </w:r>
      <w:r>
        <w:rPr>
          <w:spacing w:val="-3"/>
          <w:sz w:val="18"/>
        </w:rPr>
        <w:t> </w:t>
      </w:r>
      <w:r>
        <w:rPr>
          <w:sz w:val="18"/>
        </w:rPr>
        <w:t>(60</w:t>
      </w:r>
      <w:r>
        <w:rPr>
          <w:spacing w:val="-4"/>
          <w:sz w:val="18"/>
        </w:rPr>
        <w:t> </w:t>
      </w:r>
      <w:r>
        <w:rPr>
          <w:sz w:val="18"/>
        </w:rPr>
        <w:t>dies </w:t>
      </w:r>
      <w:r>
        <w:rPr>
          <w:spacing w:val="-2"/>
          <w:sz w:val="18"/>
        </w:rPr>
        <w:t>naturals)</w:t>
      </w:r>
      <w:r>
        <w:rPr>
          <w:sz w:val="18"/>
        </w:rPr>
        <w:tab/>
        <w:t>0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punts</w:t>
      </w:r>
    </w:p>
    <w:p>
      <w:pPr>
        <w:spacing w:line="240" w:lineRule="auto" w:before="0"/>
        <w:rPr>
          <w:sz w:val="18"/>
        </w:rPr>
      </w:pPr>
    </w:p>
    <w:p>
      <w:pPr>
        <w:spacing w:line="240" w:lineRule="auto" w:before="0"/>
        <w:rPr>
          <w:sz w:val="18"/>
        </w:rPr>
      </w:pPr>
    </w:p>
    <w:p>
      <w:pPr>
        <w:spacing w:line="240" w:lineRule="auto" w:before="0"/>
        <w:rPr>
          <w:sz w:val="18"/>
        </w:rPr>
      </w:pPr>
    </w:p>
    <w:p>
      <w:pPr>
        <w:spacing w:line="240" w:lineRule="auto" w:before="203"/>
        <w:rPr>
          <w:sz w:val="18"/>
        </w:rPr>
      </w:pPr>
    </w:p>
    <w:p>
      <w:pPr>
        <w:pStyle w:val="BodyText"/>
        <w:spacing w:line="207" w:lineRule="exact"/>
        <w:ind w:left="2"/>
      </w:pPr>
      <w:r>
        <w:rPr/>
        <w:t>No</w:t>
      </w:r>
      <w:r>
        <w:rPr>
          <w:spacing w:val="-4"/>
        </w:rPr>
        <w:t> </w:t>
      </w:r>
      <w:r>
        <w:rPr/>
        <w:t>es</w:t>
      </w:r>
      <w:r>
        <w:rPr>
          <w:spacing w:val="-2"/>
        </w:rPr>
        <w:t> </w:t>
      </w:r>
      <w:r>
        <w:rPr/>
        <w:t>pot</w:t>
      </w:r>
      <w:r>
        <w:rPr>
          <w:spacing w:val="-4"/>
        </w:rPr>
        <w:t> </w:t>
      </w:r>
      <w:r>
        <w:rPr/>
        <w:t>deixar</w:t>
      </w:r>
      <w:r>
        <w:rPr>
          <w:spacing w:val="-1"/>
        </w:rPr>
        <w:t> </w:t>
      </w:r>
      <w:r>
        <w:rPr/>
        <w:t>en</w:t>
      </w:r>
      <w:r>
        <w:rPr>
          <w:spacing w:val="-2"/>
        </w:rPr>
        <w:t> </w:t>
      </w:r>
      <w:r>
        <w:rPr/>
        <w:t>blanc,</w:t>
      </w:r>
      <w:r>
        <w:rPr>
          <w:spacing w:val="-2"/>
        </w:rPr>
        <w:t> </w:t>
      </w:r>
      <w:r>
        <w:rPr/>
        <w:t>s’ha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seleccionar</w:t>
      </w:r>
      <w:r>
        <w:rPr>
          <w:spacing w:val="-2"/>
        </w:rPr>
        <w:t> </w:t>
      </w:r>
      <w:r>
        <w:rPr/>
        <w:t>una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les</w:t>
      </w:r>
      <w:r>
        <w:rPr>
          <w:spacing w:val="-3"/>
        </w:rPr>
        <w:t> </w:t>
      </w:r>
      <w:r>
        <w:rPr/>
        <w:t>opcions.</w:t>
      </w:r>
      <w:r>
        <w:rPr>
          <w:spacing w:val="-2"/>
        </w:rPr>
        <w:t> </w:t>
      </w:r>
      <w:r>
        <w:rPr/>
        <w:t>Donat</w:t>
      </w:r>
      <w:r>
        <w:rPr>
          <w:spacing w:val="-5"/>
        </w:rPr>
        <w:t> </w:t>
      </w:r>
      <w:r>
        <w:rPr/>
        <w:t>el</w:t>
      </w:r>
      <w:r>
        <w:rPr>
          <w:spacing w:val="-3"/>
        </w:rPr>
        <w:t> </w:t>
      </w:r>
      <w:r>
        <w:rPr/>
        <w:t>cas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>
          <w:spacing w:val="-5"/>
        </w:rPr>
        <w:t>es</w:t>
      </w:r>
    </w:p>
    <w:p>
      <w:pPr>
        <w:pStyle w:val="BodyText"/>
        <w:spacing w:line="207" w:lineRule="exact"/>
        <w:ind w:left="2"/>
      </w:pPr>
      <w:r>
        <w:rPr/>
        <w:t>marqui</w:t>
      </w:r>
      <w:r>
        <w:rPr>
          <w:spacing w:val="-3"/>
        </w:rPr>
        <w:t> </w:t>
      </w:r>
      <w:r>
        <w:rPr/>
        <w:t>cap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les</w:t>
      </w:r>
      <w:r>
        <w:rPr>
          <w:spacing w:val="-2"/>
        </w:rPr>
        <w:t> </w:t>
      </w:r>
      <w:r>
        <w:rPr/>
        <w:t>opcions,</w:t>
      </w:r>
      <w:r>
        <w:rPr>
          <w:spacing w:val="45"/>
        </w:rPr>
        <w:t> </w:t>
      </w:r>
      <w:r>
        <w:rPr/>
        <w:t>es considerarà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no</w:t>
      </w:r>
      <w:r>
        <w:rPr>
          <w:spacing w:val="-1"/>
        </w:rPr>
        <w:t> </w:t>
      </w:r>
      <w:r>
        <w:rPr/>
        <w:t>s’ofereix</w:t>
      </w:r>
      <w:r>
        <w:rPr>
          <w:spacing w:val="-2"/>
        </w:rPr>
        <w:t> </w:t>
      </w:r>
      <w:r>
        <w:rPr/>
        <w:t>millora</w:t>
      </w:r>
      <w:r>
        <w:rPr>
          <w:spacing w:val="-2"/>
        </w:rPr>
        <w:t> </w:t>
      </w:r>
      <w:r>
        <w:rPr/>
        <w:t>i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tant</w:t>
      </w:r>
      <w:r>
        <w:rPr>
          <w:spacing w:val="-2"/>
        </w:rPr>
        <w:t> </w:t>
      </w:r>
      <w:r>
        <w:rPr/>
        <w:t>es</w:t>
      </w:r>
      <w:r>
        <w:rPr>
          <w:spacing w:val="-1"/>
        </w:rPr>
        <w:t> </w:t>
      </w:r>
      <w:r>
        <w:rPr/>
        <w:t>puntuarà</w:t>
      </w:r>
      <w:r>
        <w:rPr>
          <w:spacing w:val="-2"/>
        </w:rPr>
        <w:t> </w:t>
      </w:r>
      <w:r>
        <w:rPr/>
        <w:t>amb</w:t>
      </w:r>
      <w:r>
        <w:rPr>
          <w:spacing w:val="-2"/>
        </w:rPr>
        <w:t> </w:t>
      </w:r>
      <w:r>
        <w:rPr/>
        <w:t>0</w:t>
      </w:r>
      <w:r>
        <w:rPr>
          <w:spacing w:val="-1"/>
        </w:rPr>
        <w:t> </w:t>
      </w:r>
      <w:r>
        <w:rPr>
          <w:spacing w:val="-2"/>
        </w:rPr>
        <w:t>punts.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8"/>
      </w:pPr>
    </w:p>
    <w:p>
      <w:pPr>
        <w:spacing w:before="0"/>
        <w:ind w:left="1418" w:right="0" w:firstLine="0"/>
        <w:jc w:val="left"/>
        <w:rPr>
          <w:sz w:val="20"/>
        </w:rPr>
      </w:pPr>
      <w:r>
        <w:rPr>
          <w:sz w:val="20"/>
        </w:rPr>
        <w:t>,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data</w:t>
      </w:r>
      <w:r>
        <w:rPr>
          <w:spacing w:val="-12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signatura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electrònica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20"/>
        </w:rPr>
      </w:pPr>
    </w:p>
    <w:p>
      <w:pPr>
        <w:spacing w:before="0"/>
        <w:ind w:left="2" w:right="0" w:firstLine="0"/>
        <w:jc w:val="left"/>
        <w:rPr>
          <w:sz w:val="20"/>
        </w:rPr>
      </w:pPr>
      <w:r>
        <w:rPr>
          <w:spacing w:val="-2"/>
          <w:sz w:val="20"/>
        </w:rPr>
        <w:t>Signat,</w:t>
      </w:r>
    </w:p>
    <w:sectPr>
      <w:pgSz w:w="11910" w:h="16840"/>
      <w:pgMar w:header="885" w:footer="0" w:top="188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7525888">
          <wp:simplePos x="0" y="0"/>
          <wp:positionH relativeFrom="page">
            <wp:posOffset>807493</wp:posOffset>
          </wp:positionH>
          <wp:positionV relativeFrom="page">
            <wp:posOffset>562009</wp:posOffset>
          </wp:positionV>
          <wp:extent cx="1159273" cy="45692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"/>
      <w:lvlJc w:val="left"/>
      <w:pPr>
        <w:ind w:left="722" w:hanging="348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-"/>
      <w:lvlJc w:val="left"/>
      <w:pPr>
        <w:ind w:left="1418" w:hanging="293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254" w:hanging="293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89" w:hanging="293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923" w:hanging="293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758" w:hanging="293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593" w:hanging="293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27" w:hanging="293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62" w:hanging="293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"/>
      <w:lvlJc w:val="left"/>
      <w:pPr>
        <w:ind w:left="710" w:hanging="348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4"/>
        <w:szCs w:val="24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41" w:hanging="34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62" w:hanging="34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183" w:hanging="34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04" w:hanging="34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25" w:hanging="34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46" w:hanging="34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67" w:hanging="34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89" w:hanging="34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"/>
      <w:lvlJc w:val="left"/>
      <w:pPr>
        <w:ind w:left="710" w:hanging="348"/>
      </w:pPr>
      <w:rPr>
        <w:rFonts w:hint="default" w:ascii="Wingdings" w:hAnsi="Wingdings" w:eastAsia="Wingdings" w:cs="Wingdings"/>
        <w:spacing w:val="0"/>
        <w:w w:val="99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41" w:hanging="34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62" w:hanging="34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183" w:hanging="34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04" w:hanging="34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25" w:hanging="34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46" w:hanging="34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67" w:hanging="34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89" w:hanging="348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18"/>
      <w:szCs w:val="18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708" w:hanging="347"/>
      <w:outlineLvl w:val="1"/>
    </w:pPr>
    <w:rPr>
      <w:rFonts w:ascii="Arial" w:hAnsi="Arial" w:eastAsia="Arial" w:cs="Arial"/>
      <w:b/>
      <w:bCs/>
      <w:sz w:val="24"/>
      <w:szCs w:val="24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spacing w:before="1"/>
      <w:ind w:left="2"/>
      <w:outlineLvl w:val="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Heading3" w:type="paragraph">
    <w:name w:val="Heading 3"/>
    <w:basedOn w:val="Normal"/>
    <w:uiPriority w:val="1"/>
    <w:qFormat/>
    <w:pPr>
      <w:ind w:left="708" w:hanging="347"/>
      <w:outlineLvl w:val="3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708" w:hanging="347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2026-06-22T08:00:56Z</dcterms:created>
  <dcterms:modified xsi:type="dcterms:W3CDTF">2026-06-22T08:00:56Z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LastSaved">
    <vt:filetime>2026-06-22T00:00:00Z</vt:filetime>
  </property>
  <property fmtid="{D5CDD505-2E9C-101B-9397-08002B2CF9AE}" pid="5" name="Producer">
    <vt:lpwstr>iLovePDF</vt:lpwstr>
  </property>
</Properties>
</file>