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3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25;height:155" type="#_x0000_t75" id="docshape4" stroked="false">
                        <v:imagedata r:id="rId7" o:title=""/>
                      </v:shape>
                      <v:shape style="position:absolute;left:304;top:0;width:125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7" o:title=""/>
                      </v:shape>
                      <v:shape style="position:absolute;left:0;top:0;width:100;height:155" type="#_x0000_t75" id="docshape7" stroked="false">
                        <v:imagedata r:id="rId9" o:title=""/>
                      </v:shape>
                      <v:shape style="position:absolute;left:1370;top:0;width:140;height:155" type="#_x0000_t75" id="docshape8" stroked="false">
                        <v:imagedata r:id="rId10" o:title=""/>
                      </v:shape>
                      <v:shape style="position:absolute;left:1218;top:0;width:140;height:155" type="#_x0000_t75" id="docshape9" stroked="false">
                        <v:imagedata r:id="rId11" o:title=""/>
                      </v:shape>
                      <v:shape style="position:absolute;left:1066;top:0;width:125;height:155" type="#_x0000_t75" id="docshape10" stroked="false">
                        <v:imagedata r:id="rId12" o:title=""/>
                      </v:shape>
                      <v:shape style="position:absolute;left:913;top:0;width:115;height:155" type="#_x0000_t75" id="docshape11" stroked="false">
                        <v:imagedata r:id="rId13" o:title=""/>
                      </v:shape>
                      <v:shape style="position:absolute;left:761;top:0;width:140;height:155" type="#_x0000_t75" id="docshape12" stroked="false">
                        <v:imagedata r:id="rId14" o:title=""/>
                      </v:shape>
                      <v:shape style="position:absolute;left:609;top:0;width:140;height:155" type="#_x0000_t75" id="docshape13" stroked="false">
                        <v:imagedata r:id="rId15" o:title=""/>
                      </v:shape>
                      <v:shape style="position:absolute;left:2436;top:0;width:140;height:155" type="#_x0000_t75" id="docshape14" stroked="false">
                        <v:imagedata r:id="rId16" o:title=""/>
                      </v:shape>
                      <v:shape style="position:absolute;left:2284;top:0;width:140;height:155" type="#_x0000_t75" id="docshape15" stroked="false">
                        <v:imagedata r:id="rId14" o:title=""/>
                      </v:shape>
                      <v:shape style="position:absolute;left:2132;top:0;width:140;height:155" type="#_x0000_t75" id="docshape16" stroked="false">
                        <v:imagedata r:id="rId17" o:title=""/>
                      </v:shape>
                      <v:shape style="position:absolute;left:1979;top:0;width:125;height:155" type="#_x0000_t75" id="docshape17" stroked="false">
                        <v:imagedata r:id="rId18" o:title=""/>
                      </v:shape>
                      <v:shape style="position:absolute;left:1827;top:0;width:140;height:155" type="#_x0000_t75" id="docshape18" stroked="false">
                        <v:imagedata r:id="rId19" o:title=""/>
                      </v:shape>
                      <v:shape style="position:absolute;left:1675;top:0;width:125;height:155" type="#_x0000_t75" id="docshape19" stroked="false">
                        <v:imagedata r:id="rId18" o:title=""/>
                      </v:shape>
                      <v:shape style="position:absolute;left:1523;top:0;width:125;height:155" type="#_x0000_t75" id="docshape20" stroked="false">
                        <v:imagedata r:id="rId20" o:title=""/>
                      </v:shape>
                      <v:shape style="position:absolute;left:3350;top:0;width:180;height:155" type="#_x0000_t75" id="docshape21" stroked="false">
                        <v:imagedata r:id="rId21" o:title=""/>
                      </v:shape>
                      <v:shape style="position:absolute;left:3198;top:0;width:115;height:155" type="#_x0000_t75" id="docshape22" stroked="false">
                        <v:imagedata r:id="rId22" o:title=""/>
                      </v:shape>
                      <v:shape style="position:absolute;left:3046;top:0;width:140;height:155" type="#_x0000_t75" id="docshape23" stroked="false">
                        <v:imagedata r:id="rId16" o:title=""/>
                      </v:shape>
                      <v:shape style="position:absolute;left:2893;top:0;width:115;height:155" type="#_x0000_t75" id="docshape24" stroked="false">
                        <v:imagedata r:id="rId23" o:title=""/>
                      </v:shape>
                      <v:shape style="position:absolute;left:2741;top:0;width:140;height:155" type="#_x0000_t75" id="docshape25" stroked="false">
                        <v:imagedata r:id="rId24" o:title=""/>
                      </v:shape>
                      <v:shape style="position:absolute;left:2589;top:0;width:125;height:155" type="#_x0000_t75" id="docshape26" stroked="false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787"/>
              <w:rPr>
                <w:sz w:val="14"/>
              </w:rPr>
            </w:pPr>
            <w:r>
              <w:rPr>
                <w:sz w:val="14"/>
              </w:rPr>
              <w:t>030X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1J54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296O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6W1T</w:t>
            </w:r>
            <w:r>
              <w:rPr>
                <w:spacing w:val="58"/>
                <w:sz w:val="14"/>
              </w:rPr>
              <w:t>  </w:t>
            </w:r>
            <w:r>
              <w:rPr>
                <w:spacing w:val="-4"/>
                <w:sz w:val="14"/>
              </w:rPr>
              <w:t>0UMT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51"/>
              <w:rPr>
                <w:sz w:val="14"/>
              </w:rPr>
            </w:pPr>
            <w:r>
              <w:rPr>
                <w:spacing w:val="-2"/>
                <w:sz w:val="14"/>
              </w:rPr>
              <w:t>URB/2026/126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URB1AI01S2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26-06-</w:t>
            </w:r>
            <w:r>
              <w:rPr>
                <w:spacing w:val="-4"/>
                <w:sz w:val="14"/>
              </w:rPr>
              <w:t>2026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Urbanisme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 w:right="2"/>
              <w:rPr>
                <w:sz w:val="14"/>
              </w:rPr>
            </w:pPr>
            <w:r>
              <w:rPr>
                <w:sz w:val="14"/>
              </w:rPr>
              <w:t>GVR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POSS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Obres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Actuacions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millora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façana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carrer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l'Escola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Pia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entre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els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números 69 i 69B</w:t>
            </w:r>
          </w:p>
        </w:tc>
      </w:tr>
    </w:tbl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3"/>
        <w:rPr>
          <w:rFonts w:ascii="Times New Roman"/>
        </w:rPr>
      </w:pPr>
    </w:p>
    <w:p>
      <w:pPr>
        <w:pStyle w:val="Heading1"/>
        <w:rPr>
          <w:u w:val="none"/>
        </w:rPr>
      </w:pPr>
      <w:r>
        <w:rPr>
          <w:u w:val="single"/>
        </w:rPr>
        <w:t>ANNEX</w:t>
      </w:r>
      <w:r>
        <w:rPr>
          <w:spacing w:val="58"/>
          <w:u w:val="single"/>
        </w:rPr>
        <w:t> </w:t>
      </w:r>
      <w:r>
        <w:rPr>
          <w:spacing w:val="-10"/>
          <w:u w:val="single"/>
        </w:rPr>
        <w:t>4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spacing w:before="0"/>
        <w:ind w:left="1" w:right="0" w:firstLine="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A.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MODEL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D’OFERTA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ECONÒMICA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pacing w:val="-2"/>
          <w:sz w:val="22"/>
        </w:rPr>
        <w:t>GENERAL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5147" w:val="left" w:leader="dot"/>
        </w:tabs>
        <w:ind w:left="1" w:right="139"/>
        <w:jc w:val="both"/>
      </w:pPr>
      <w:r>
        <w:rPr>
          <w:spacing w:val="-2"/>
        </w:rPr>
        <w:t>En/na</w:t>
      </w:r>
      <w:r>
        <w:rPr/>
        <w:tab/>
        <w:t>,</w:t>
      </w:r>
      <w:r>
        <w:rPr>
          <w:spacing w:val="-1"/>
        </w:rPr>
        <w:t> </w:t>
      </w:r>
      <w:r>
        <w:rPr/>
        <w:t>amb</w:t>
      </w:r>
      <w:r>
        <w:rPr>
          <w:spacing w:val="-1"/>
        </w:rPr>
        <w:t> </w:t>
      </w:r>
      <w:r>
        <w:rPr/>
        <w:t>NIF</w:t>
      </w:r>
      <w:r>
        <w:rPr>
          <w:spacing w:val="80"/>
        </w:rPr>
        <w:t>   </w:t>
      </w:r>
      <w:r>
        <w:rPr/>
        <w:t>,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/>
        <w:t>de</w:t>
      </w:r>
      <w:r>
        <w:rPr>
          <w:spacing w:val="80"/>
          <w:w w:val="150"/>
        </w:rPr>
        <w:t>        </w:t>
      </w:r>
      <w:r>
        <w:rPr/>
        <w:t>i</w:t>
      </w:r>
      <w:r>
        <w:rPr>
          <w:spacing w:val="34"/>
        </w:rPr>
        <w:t> </w:t>
      </w:r>
      <w:r>
        <w:rPr/>
        <w:t>en</w:t>
      </w:r>
      <w:r>
        <w:rPr>
          <w:spacing w:val="34"/>
        </w:rPr>
        <w:t> </w:t>
      </w:r>
      <w:r>
        <w:rPr/>
        <w:t>nom</w:t>
      </w:r>
      <w:r>
        <w:rPr>
          <w:spacing w:val="34"/>
        </w:rPr>
        <w:t> </w:t>
      </w:r>
      <w:r>
        <w:rPr/>
        <w:t>i</w:t>
      </w:r>
      <w:r>
        <w:rPr>
          <w:spacing w:val="34"/>
        </w:rPr>
        <w:t> </w:t>
      </w:r>
      <w:r>
        <w:rPr/>
        <w:t>representació</w:t>
      </w:r>
      <w:r>
        <w:rPr>
          <w:spacing w:val="34"/>
        </w:rPr>
        <w:t> </w:t>
      </w:r>
      <w:r>
        <w:rPr/>
        <w:t>de la societat</w:t>
        <w:tab/>
        <w:tab/>
        <w:t>, amb CIF</w:t>
        <w:tab/>
        <w:t>i domiciliada a</w:t>
      </w:r>
    </w:p>
    <w:p>
      <w:pPr>
        <w:pStyle w:val="BodyText"/>
        <w:tabs>
          <w:tab w:pos="7799" w:val="left" w:leader="none"/>
        </w:tabs>
        <w:ind w:left="1" w:right="139" w:firstLine="1418"/>
        <w:jc w:val="both"/>
      </w:pPr>
      <w:r>
        <w:rPr/>
        <w:t>, segons escriptura pública autoritzada davant Notari/a</w:t>
        <w:tab/>
        <w:t>, </w:t>
      </w:r>
      <w:r>
        <w:rPr/>
        <w:t>en data</w:t>
      </w:r>
      <w:r>
        <w:rPr>
          <w:spacing w:val="80"/>
        </w:rPr>
        <w:t>  </w:t>
      </w:r>
      <w:r>
        <w:rPr/>
        <w:t>i amb número de protocol</w:t>
      </w:r>
      <w:r>
        <w:rPr>
          <w:spacing w:val="80"/>
        </w:rPr>
        <w:t>  </w:t>
      </w:r>
      <w:r>
        <w:rPr/>
        <w:t>.</w:t>
      </w:r>
    </w:p>
    <w:p>
      <w:pPr>
        <w:pStyle w:val="BodyText"/>
        <w:tabs>
          <w:tab w:pos="4963" w:val="left" w:leader="none"/>
        </w:tabs>
        <w:ind w:left="1" w:right="139"/>
        <w:jc w:val="both"/>
      </w:pPr>
      <w:r>
        <w:rPr/>
        <w:t>, assabentat de l’anunci publicat en data</w:t>
        <w:tab/>
        <w:t>en el perfil del contractant de l’Ajuntament de Sabadell i de les condicions i requisits que s’exigeixen per a l’adjudicació del contracte anomenat “Actuacions de millora de la façana del carrer de l’escola pia entre els números 69 i 69b” concorre a aquest procediment i es</w:t>
      </w:r>
      <w:r>
        <w:rPr>
          <w:spacing w:val="40"/>
        </w:rPr>
        <w:t> </w:t>
      </w:r>
      <w:r>
        <w:rPr/>
        <w:t>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>
      <w:pPr>
        <w:pStyle w:val="BodyText"/>
      </w:pPr>
    </w:p>
    <w:p>
      <w:pPr>
        <w:pStyle w:val="BodyText"/>
      </w:pPr>
    </w:p>
    <w:p>
      <w:pPr>
        <w:pStyle w:val="BodyText"/>
        <w:ind w:left="1" w:right="139"/>
        <w:jc w:val="both"/>
      </w:pPr>
      <w:r>
        <w:rPr/>
        <w:t>En relació als criteris d’adjudicació avaluables mitjançant l’aplicació de fórmules que preveu el Plec de clàusules administratives particulars fa constar que l’oferta presentada es desglossa conforme el següent:</w:t>
      </w:r>
    </w:p>
    <w:p>
      <w:pPr>
        <w:pStyle w:val="BodyText"/>
      </w:pPr>
    </w:p>
    <w:p>
      <w:pPr>
        <w:pStyle w:val="BodyText"/>
      </w:pPr>
    </w:p>
    <w:p>
      <w:pPr>
        <w:pStyle w:val="Heading1"/>
        <w:jc w:val="both"/>
        <w:rPr>
          <w:u w:val="none"/>
        </w:rPr>
      </w:pPr>
      <w:r>
        <w:rPr>
          <w:u w:val="single"/>
        </w:rPr>
        <w:t>Criteri</w:t>
      </w:r>
      <w:r>
        <w:rPr>
          <w:spacing w:val="-4"/>
          <w:u w:val="single"/>
        </w:rPr>
        <w:t> </w:t>
      </w:r>
      <w:r>
        <w:rPr>
          <w:u w:val="single"/>
        </w:rPr>
        <w:t>1.</w:t>
      </w:r>
      <w:r>
        <w:rPr>
          <w:spacing w:val="-3"/>
          <w:u w:val="single"/>
        </w:rPr>
        <w:t> </w:t>
      </w:r>
      <w:r>
        <w:rPr>
          <w:u w:val="single"/>
        </w:rPr>
        <w:t>Baixa</w:t>
      </w:r>
      <w:r>
        <w:rPr>
          <w:spacing w:val="-3"/>
          <w:u w:val="single"/>
        </w:rPr>
        <w:t> </w:t>
      </w:r>
      <w:r>
        <w:rPr>
          <w:u w:val="single"/>
        </w:rPr>
        <w:t>Econòmica</w:t>
      </w:r>
      <w:r>
        <w:rPr>
          <w:spacing w:val="-2"/>
          <w:u w:val="single"/>
        </w:rPr>
        <w:t> </w:t>
      </w:r>
      <w:r>
        <w:rPr>
          <w:u w:val="single"/>
        </w:rPr>
        <w:t>(fins</w:t>
      </w:r>
      <w:r>
        <w:rPr>
          <w:spacing w:val="-3"/>
          <w:u w:val="single"/>
        </w:rPr>
        <w:t> </w:t>
      </w:r>
      <w:r>
        <w:rPr>
          <w:u w:val="single"/>
        </w:rPr>
        <w:t>a</w:t>
      </w:r>
      <w:r>
        <w:rPr>
          <w:spacing w:val="-2"/>
          <w:u w:val="single"/>
        </w:rPr>
        <w:t> </w:t>
      </w:r>
      <w:r>
        <w:rPr>
          <w:u w:val="single"/>
        </w:rPr>
        <w:t>90</w:t>
      </w:r>
      <w:r>
        <w:rPr>
          <w:spacing w:val="-2"/>
          <w:u w:val="single"/>
        </w:rPr>
        <w:t> punts).</w:t>
      </w:r>
    </w:p>
    <w:p>
      <w:pPr>
        <w:pStyle w:val="BodyText"/>
        <w:rPr>
          <w:rFonts w:ascii="Arial"/>
          <w:b/>
        </w:rPr>
      </w:pPr>
    </w:p>
    <w:p>
      <w:pPr>
        <w:pStyle w:val="BodyText"/>
        <w:ind w:left="1"/>
      </w:pPr>
      <w:r>
        <w:rPr/>
        <w:t>Es</w:t>
      </w:r>
      <w:r>
        <w:rPr>
          <w:spacing w:val="-6"/>
        </w:rPr>
        <w:t> </w:t>
      </w:r>
      <w:r>
        <w:rPr/>
        <w:t>valorarà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baixa</w:t>
      </w:r>
      <w:r>
        <w:rPr>
          <w:spacing w:val="-4"/>
        </w:rPr>
        <w:t> </w:t>
      </w:r>
      <w:r>
        <w:rPr/>
        <w:t>econòmica</w:t>
      </w:r>
      <w:r>
        <w:rPr>
          <w:spacing w:val="-3"/>
        </w:rPr>
        <w:t> </w:t>
      </w:r>
      <w:r>
        <w:rPr/>
        <w:t>sobre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pressupost</w:t>
      </w:r>
      <w:r>
        <w:rPr>
          <w:spacing w:val="-5"/>
        </w:rPr>
        <w:t> </w:t>
      </w:r>
      <w:r>
        <w:rPr/>
        <w:t>base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licitació,</w:t>
      </w:r>
      <w:r>
        <w:rPr>
          <w:spacing w:val="-4"/>
        </w:rPr>
        <w:t> </w:t>
      </w:r>
      <w:r>
        <w:rPr/>
        <w:t>IVA</w:t>
      </w:r>
      <w:r>
        <w:rPr>
          <w:spacing w:val="-3"/>
        </w:rPr>
        <w:t> </w:t>
      </w:r>
      <w:r>
        <w:rPr>
          <w:spacing w:val="-2"/>
        </w:rPr>
        <w:t>inclòs.</w:t>
      </w:r>
    </w:p>
    <w:p>
      <w:pPr>
        <w:pStyle w:val="BodyText"/>
      </w:pPr>
    </w:p>
    <w:p>
      <w:pPr>
        <w:pStyle w:val="BodyText"/>
        <w:ind w:left="1"/>
      </w:pPr>
      <w:r>
        <w:rPr/>
        <w:t>-Import</w:t>
      </w:r>
      <w:r>
        <w:rPr>
          <w:spacing w:val="-1"/>
        </w:rPr>
        <w:t> </w:t>
      </w:r>
      <w:r>
        <w:rPr>
          <w:spacing w:val="-2"/>
        </w:rPr>
        <w:t>base:</w:t>
      </w:r>
    </w:p>
    <w:p>
      <w:pPr>
        <w:pStyle w:val="BodyText"/>
        <w:ind w:left="1"/>
      </w:pPr>
      <w:r>
        <w:rPr/>
        <w:t>-Import</w:t>
      </w:r>
      <w:r>
        <w:rPr>
          <w:spacing w:val="-1"/>
        </w:rPr>
        <w:t> </w:t>
      </w:r>
      <w:r>
        <w:rPr>
          <w:spacing w:val="-4"/>
        </w:rPr>
        <w:t>IVA:</w:t>
      </w:r>
    </w:p>
    <w:p>
      <w:pPr>
        <w:pStyle w:val="BodyText"/>
        <w:ind w:left="1"/>
      </w:pPr>
      <w:r>
        <w:rPr/>
        <w:t>-Import</w:t>
      </w:r>
      <w:r>
        <w:rPr>
          <w:spacing w:val="-1"/>
        </w:rPr>
        <w:t> </w:t>
      </w:r>
      <w:r>
        <w:rPr>
          <w:spacing w:val="-2"/>
        </w:rPr>
        <w:t>total:</w:t>
      </w:r>
    </w:p>
    <w:p>
      <w:pPr>
        <w:pStyle w:val="BodyText"/>
      </w:pPr>
    </w:p>
    <w:p>
      <w:pPr>
        <w:pStyle w:val="BodyText"/>
        <w:ind w:left="1"/>
      </w:pPr>
      <w:r>
        <w:rPr/>
        <w:t>En</w:t>
      </w:r>
      <w:r>
        <w:rPr>
          <w:spacing w:val="-3"/>
        </w:rPr>
        <w:t> </w:t>
      </w:r>
      <w:r>
        <w:rPr/>
        <w:t>cas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no</w:t>
      </w:r>
      <w:r>
        <w:rPr>
          <w:spacing w:val="-2"/>
        </w:rPr>
        <w:t> </w:t>
      </w:r>
      <w:r>
        <w:rPr/>
        <w:t>fer</w:t>
      </w:r>
      <w:r>
        <w:rPr>
          <w:spacing w:val="-2"/>
        </w:rPr>
        <w:t> </w:t>
      </w:r>
      <w:r>
        <w:rPr/>
        <w:t>cap</w:t>
      </w:r>
      <w:r>
        <w:rPr>
          <w:spacing w:val="-3"/>
        </w:rPr>
        <w:t> </w:t>
      </w:r>
      <w:r>
        <w:rPr/>
        <w:t>baixa</w:t>
      </w:r>
      <w:r>
        <w:rPr>
          <w:spacing w:val="-2"/>
        </w:rPr>
        <w:t> </w:t>
      </w:r>
      <w:r>
        <w:rPr/>
        <w:t>no</w:t>
      </w:r>
      <w:r>
        <w:rPr>
          <w:spacing w:val="-3"/>
        </w:rPr>
        <w:t> </w:t>
      </w:r>
      <w:r>
        <w:rPr/>
        <w:t>s'assignarà</w:t>
      </w:r>
      <w:r>
        <w:rPr>
          <w:spacing w:val="-2"/>
        </w:rPr>
        <w:t> </w:t>
      </w:r>
      <w:r>
        <w:rPr/>
        <w:t>cap</w:t>
      </w:r>
      <w:r>
        <w:rPr>
          <w:spacing w:val="-2"/>
        </w:rPr>
        <w:t> </w:t>
      </w:r>
      <w:r>
        <w:rPr/>
        <w:t>puntuació</w:t>
      </w:r>
      <w:r>
        <w:rPr>
          <w:spacing w:val="-3"/>
        </w:rPr>
        <w:t> </w:t>
      </w:r>
      <w:r>
        <w:rPr/>
        <w:t>per</w:t>
      </w:r>
      <w:r>
        <w:rPr>
          <w:spacing w:val="-2"/>
        </w:rPr>
        <w:t> </w:t>
      </w:r>
      <w:r>
        <w:rPr/>
        <w:t>aquest</w:t>
      </w:r>
      <w:r>
        <w:rPr>
          <w:spacing w:val="-3"/>
        </w:rPr>
        <w:t> </w:t>
      </w:r>
      <w:r>
        <w:rPr>
          <w:spacing w:val="-2"/>
        </w:rPr>
        <w:t>criteri.</w:t>
      </w:r>
    </w:p>
    <w:p>
      <w:pPr>
        <w:pStyle w:val="BodyText"/>
        <w:spacing w:after="0"/>
        <w:sectPr>
          <w:footerReference w:type="default" r:id="rId5"/>
          <w:type w:val="continuous"/>
          <w:pgSz w:w="11910" w:h="16840"/>
          <w:pgMar w:header="0" w:footer="592" w:top="460" w:bottom="780" w:left="1700" w:right="1559"/>
          <w:pgNumType w:start="49"/>
        </w:sectPr>
      </w:pPr>
    </w:p>
    <w:p>
      <w:pPr>
        <w:pStyle w:val="Heading1"/>
        <w:spacing w:before="68"/>
        <w:rPr>
          <w:u w:val="none"/>
        </w:rPr>
      </w:pPr>
      <w:r>
        <w:rPr>
          <w:u w:val="single"/>
        </w:rPr>
        <w:t>Criteri</w:t>
      </w:r>
      <w:r>
        <w:rPr>
          <w:spacing w:val="-3"/>
          <w:u w:val="single"/>
        </w:rPr>
        <w:t> </w:t>
      </w:r>
      <w:r>
        <w:rPr>
          <w:u w:val="single"/>
        </w:rPr>
        <w:t>2.</w:t>
      </w:r>
      <w:r>
        <w:rPr>
          <w:spacing w:val="-2"/>
          <w:u w:val="single"/>
        </w:rPr>
        <w:t> </w:t>
      </w:r>
      <w:r>
        <w:rPr>
          <w:u w:val="single"/>
        </w:rPr>
        <w:t>Ampliació</w:t>
      </w:r>
      <w:r>
        <w:rPr>
          <w:spacing w:val="-2"/>
          <w:u w:val="single"/>
        </w:rPr>
        <w:t> </w:t>
      </w:r>
      <w:r>
        <w:rPr>
          <w:u w:val="single"/>
        </w:rPr>
        <w:t>del</w:t>
      </w:r>
      <w:r>
        <w:rPr>
          <w:spacing w:val="-2"/>
          <w:u w:val="single"/>
        </w:rPr>
        <w:t> </w:t>
      </w:r>
      <w:r>
        <w:rPr>
          <w:u w:val="single"/>
        </w:rPr>
        <w:t>termini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garantia</w:t>
      </w:r>
      <w:r>
        <w:rPr>
          <w:spacing w:val="29"/>
          <w:u w:val="single"/>
        </w:rPr>
        <w:t>  </w:t>
      </w:r>
      <w:r>
        <w:rPr>
          <w:u w:val="single"/>
        </w:rPr>
        <w:t>(Puntuació</w:t>
      </w:r>
      <w:r>
        <w:rPr>
          <w:spacing w:val="-2"/>
          <w:u w:val="single"/>
        </w:rPr>
        <w:t> </w:t>
      </w:r>
      <w:r>
        <w:rPr>
          <w:u w:val="single"/>
        </w:rPr>
        <w:t>màxima</w:t>
      </w:r>
      <w:r>
        <w:rPr>
          <w:spacing w:val="-2"/>
          <w:u w:val="single"/>
        </w:rPr>
        <w:t> </w:t>
      </w:r>
      <w:r>
        <w:rPr>
          <w:u w:val="single"/>
        </w:rPr>
        <w:t>fins</w:t>
      </w:r>
      <w:r>
        <w:rPr>
          <w:spacing w:val="-1"/>
          <w:u w:val="single"/>
        </w:rPr>
        <w:t> </w:t>
      </w:r>
      <w:r>
        <w:rPr>
          <w:u w:val="single"/>
        </w:rPr>
        <w:t>a</w:t>
      </w:r>
      <w:r>
        <w:rPr>
          <w:spacing w:val="-1"/>
          <w:u w:val="single"/>
        </w:rPr>
        <w:t> </w:t>
      </w:r>
      <w:r>
        <w:rPr>
          <w:u w:val="single"/>
        </w:rPr>
        <w:t>10</w:t>
      </w:r>
      <w:r>
        <w:rPr>
          <w:spacing w:val="-1"/>
          <w:u w:val="single"/>
        </w:rPr>
        <w:t> </w:t>
      </w:r>
      <w:r>
        <w:rPr>
          <w:spacing w:val="-2"/>
          <w:u w:val="single"/>
        </w:rPr>
        <w:t>punts)</w:t>
      </w:r>
    </w:p>
    <w:p>
      <w:pPr>
        <w:pStyle w:val="BodyText"/>
        <w:spacing w:before="253"/>
        <w:ind w:left="1" w:right="139"/>
        <w:jc w:val="both"/>
      </w:pPr>
      <w:r>
        <w:rPr/>
        <w:t>El període de garantia establert per a aquesta obra és de 12 mesos des de l’acta de </w:t>
      </w:r>
      <w:r>
        <w:rPr>
          <w:spacing w:val="-2"/>
        </w:rPr>
        <w:t>recepció.</w:t>
      </w:r>
    </w:p>
    <w:p>
      <w:pPr>
        <w:pStyle w:val="BodyText"/>
        <w:spacing w:before="253"/>
        <w:ind w:left="1" w:right="139"/>
        <w:jc w:val="both"/>
      </w:pPr>
      <w:r>
        <w:rPr/>
        <w:t>El licitador pot presentar una ampliació de la garantia addicional fins a 24 mesos (36</w:t>
      </w:r>
      <w:r>
        <w:rPr>
          <w:spacing w:val="40"/>
        </w:rPr>
        <w:t> </w:t>
      </w:r>
      <w:r>
        <w:rPr/>
        <w:t>en total). L’ampliació del termini haurà de ser en terminis de 12 mesos (no es valorarà cap altra opció que no sigui una ampliació en terminis de 12 mesos).</w:t>
      </w:r>
    </w:p>
    <w:p>
      <w:pPr>
        <w:pStyle w:val="BodyText"/>
        <w:spacing w:before="252"/>
      </w:pPr>
    </w:p>
    <w:p>
      <w:pPr>
        <w:pStyle w:val="Heading1"/>
        <w:numPr>
          <w:ilvl w:val="0"/>
          <w:numId w:val="1"/>
        </w:numPr>
        <w:tabs>
          <w:tab w:pos="720" w:val="left" w:leader="none"/>
        </w:tabs>
        <w:spacing w:line="240" w:lineRule="auto" w:before="1" w:after="0"/>
        <w:ind w:left="720" w:right="0" w:hanging="359"/>
        <w:jc w:val="left"/>
        <w:rPr>
          <w:u w:val="none"/>
        </w:rPr>
      </w:pPr>
      <w:r>
        <w:rPr>
          <w:u w:val="none"/>
        </w:rPr>
        <w:t>No</w:t>
      </w:r>
      <w:r>
        <w:rPr>
          <w:spacing w:val="-2"/>
          <w:u w:val="none"/>
        </w:rPr>
        <w:t> </w:t>
      </w:r>
      <w:r>
        <w:rPr>
          <w:u w:val="none"/>
        </w:rPr>
        <w:t>ampliació</w:t>
      </w:r>
      <w:r>
        <w:rPr>
          <w:spacing w:val="-1"/>
          <w:u w:val="none"/>
        </w:rPr>
        <w:t> </w:t>
      </w:r>
      <w:r>
        <w:rPr>
          <w:u w:val="none"/>
        </w:rPr>
        <w:t>del</w:t>
      </w:r>
      <w:r>
        <w:rPr>
          <w:spacing w:val="-1"/>
          <w:u w:val="none"/>
        </w:rPr>
        <w:t> </w:t>
      </w:r>
      <w:r>
        <w:rPr>
          <w:u w:val="none"/>
        </w:rPr>
        <w:t>termini</w:t>
      </w:r>
      <w:r>
        <w:rPr>
          <w:spacing w:val="-1"/>
          <w:u w:val="none"/>
        </w:rPr>
        <w:t> </w:t>
      </w:r>
      <w:r>
        <w:rPr>
          <w:u w:val="none"/>
        </w:rPr>
        <w:t>de garantia: 0 </w:t>
      </w:r>
      <w:r>
        <w:rPr>
          <w:spacing w:val="-2"/>
          <w:u w:val="none"/>
        </w:rPr>
        <w:t>punts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0" w:hanging="359"/>
        <w:jc w:val="left"/>
        <w:rPr>
          <w:sz w:val="22"/>
        </w:rPr>
      </w:pPr>
      <w:r>
        <w:rPr>
          <w:sz w:val="22"/>
        </w:rPr>
        <w:t>Ampliació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garantia</w:t>
      </w:r>
      <w:r>
        <w:rPr>
          <w:spacing w:val="-2"/>
          <w:sz w:val="22"/>
        </w:rPr>
        <w:t> </w:t>
      </w:r>
      <w:r>
        <w:rPr>
          <w:sz w:val="22"/>
        </w:rPr>
        <w:t>en</w:t>
      </w:r>
      <w:r>
        <w:rPr>
          <w:spacing w:val="-2"/>
          <w:sz w:val="22"/>
        </w:rPr>
        <w:t> </w:t>
      </w:r>
      <w:r>
        <w:rPr>
          <w:sz w:val="22"/>
        </w:rPr>
        <w:t>12</w:t>
      </w:r>
      <w:r>
        <w:rPr>
          <w:spacing w:val="-2"/>
          <w:sz w:val="22"/>
        </w:rPr>
        <w:t> </w:t>
      </w:r>
      <w:r>
        <w:rPr>
          <w:sz w:val="22"/>
        </w:rPr>
        <w:t>mesos</w:t>
      </w:r>
      <w:r>
        <w:rPr>
          <w:spacing w:val="-2"/>
          <w:sz w:val="22"/>
        </w:rPr>
        <w:t> </w:t>
      </w:r>
      <w:r>
        <w:rPr>
          <w:sz w:val="22"/>
        </w:rPr>
        <w:t>addicionals</w:t>
      </w:r>
      <w:r>
        <w:rPr>
          <w:spacing w:val="57"/>
          <w:sz w:val="22"/>
        </w:rPr>
        <w:t> </w:t>
      </w:r>
      <w:r>
        <w:rPr>
          <w:sz w:val="22"/>
        </w:rPr>
        <w:t>(24</w:t>
      </w:r>
      <w:r>
        <w:rPr>
          <w:spacing w:val="-2"/>
          <w:sz w:val="22"/>
        </w:rPr>
        <w:t> </w:t>
      </w:r>
      <w:r>
        <w:rPr>
          <w:sz w:val="22"/>
        </w:rPr>
        <w:t>mesos</w:t>
      </w:r>
      <w:r>
        <w:rPr>
          <w:spacing w:val="-3"/>
          <w:sz w:val="22"/>
        </w:rPr>
        <w:t> </w:t>
      </w:r>
      <w:r>
        <w:rPr>
          <w:sz w:val="22"/>
        </w:rPr>
        <w:t>en</w:t>
      </w:r>
      <w:r>
        <w:rPr>
          <w:spacing w:val="-1"/>
          <w:sz w:val="22"/>
        </w:rPr>
        <w:t> </w:t>
      </w:r>
      <w:r>
        <w:rPr>
          <w:sz w:val="22"/>
        </w:rPr>
        <w:t>total):</w:t>
      </w:r>
      <w:r>
        <w:rPr>
          <w:spacing w:val="-3"/>
          <w:sz w:val="22"/>
        </w:rPr>
        <w:t> </w:t>
      </w:r>
      <w:r>
        <w:rPr>
          <w:sz w:val="22"/>
        </w:rPr>
        <w:t>5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punts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0" w:hanging="359"/>
        <w:jc w:val="left"/>
        <w:rPr>
          <w:sz w:val="22"/>
        </w:rPr>
      </w:pPr>
      <w:r>
        <w:rPr>
          <w:sz w:val="22"/>
        </w:rPr>
        <w:t>Ampliació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garantia</w:t>
      </w:r>
      <w:r>
        <w:rPr>
          <w:spacing w:val="-2"/>
          <w:sz w:val="22"/>
        </w:rPr>
        <w:t> </w:t>
      </w:r>
      <w:r>
        <w:rPr>
          <w:sz w:val="22"/>
        </w:rPr>
        <w:t>en</w:t>
      </w:r>
      <w:r>
        <w:rPr>
          <w:spacing w:val="-2"/>
          <w:sz w:val="22"/>
        </w:rPr>
        <w:t> </w:t>
      </w:r>
      <w:r>
        <w:rPr>
          <w:sz w:val="22"/>
        </w:rPr>
        <w:t>24</w:t>
      </w:r>
      <w:r>
        <w:rPr>
          <w:spacing w:val="-2"/>
          <w:sz w:val="22"/>
        </w:rPr>
        <w:t> </w:t>
      </w:r>
      <w:r>
        <w:rPr>
          <w:sz w:val="22"/>
        </w:rPr>
        <w:t>mesos</w:t>
      </w:r>
      <w:r>
        <w:rPr>
          <w:spacing w:val="-2"/>
          <w:sz w:val="22"/>
        </w:rPr>
        <w:t> </w:t>
      </w:r>
      <w:r>
        <w:rPr>
          <w:sz w:val="22"/>
        </w:rPr>
        <w:t>addicionals</w:t>
      </w:r>
      <w:r>
        <w:rPr>
          <w:spacing w:val="-3"/>
          <w:sz w:val="22"/>
        </w:rPr>
        <w:t> </w:t>
      </w:r>
      <w:r>
        <w:rPr>
          <w:sz w:val="22"/>
        </w:rPr>
        <w:t>(</w:t>
      </w:r>
      <w:r>
        <w:rPr>
          <w:spacing w:val="-1"/>
          <w:sz w:val="22"/>
        </w:rPr>
        <w:t> </w:t>
      </w:r>
      <w:r>
        <w:rPr>
          <w:sz w:val="22"/>
        </w:rPr>
        <w:t>36</w:t>
      </w:r>
      <w:r>
        <w:rPr>
          <w:spacing w:val="-2"/>
          <w:sz w:val="22"/>
        </w:rPr>
        <w:t> </w:t>
      </w:r>
      <w:r>
        <w:rPr>
          <w:sz w:val="22"/>
        </w:rPr>
        <w:t>mesos</w:t>
      </w:r>
      <w:r>
        <w:rPr>
          <w:spacing w:val="-3"/>
          <w:sz w:val="22"/>
        </w:rPr>
        <w:t> </w:t>
      </w:r>
      <w:r>
        <w:rPr>
          <w:sz w:val="22"/>
        </w:rPr>
        <w:t>en</w:t>
      </w:r>
      <w:r>
        <w:rPr>
          <w:spacing w:val="-1"/>
          <w:sz w:val="22"/>
        </w:rPr>
        <w:t> </w:t>
      </w:r>
      <w:r>
        <w:rPr>
          <w:sz w:val="22"/>
        </w:rPr>
        <w:t>total):</w:t>
      </w:r>
      <w:r>
        <w:rPr>
          <w:spacing w:val="-3"/>
          <w:sz w:val="22"/>
        </w:rPr>
        <w:t> </w:t>
      </w:r>
      <w:r>
        <w:rPr>
          <w:sz w:val="22"/>
        </w:rPr>
        <w:t>10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punts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before="1"/>
        <w:ind w:left="1419"/>
      </w:pPr>
      <w:r>
        <w:rPr/>
        <w:t>,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data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signatura</w:t>
      </w:r>
      <w:r>
        <w:rPr>
          <w:spacing w:val="-2"/>
        </w:rPr>
        <w:t> electrònica</w:t>
      </w:r>
    </w:p>
    <w:p>
      <w:pPr>
        <w:pStyle w:val="BodyText"/>
        <w:spacing w:before="253"/>
        <w:ind w:left="1"/>
      </w:pPr>
      <w:r>
        <w:rPr>
          <w:spacing w:val="-2"/>
        </w:rPr>
        <w:t>Signat,</w:t>
      </w:r>
    </w:p>
    <w:sectPr>
      <w:pgSz w:w="11910" w:h="16840"/>
      <w:pgMar w:header="0" w:footer="592" w:top="1860" w:bottom="7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92096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2438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92608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49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/52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5823872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49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/52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"/>
      <w:lvlJc w:val="left"/>
      <w:pPr>
        <w:ind w:left="721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512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305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098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890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683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476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268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720" w:hanging="359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png"/><Relationship Id="rId25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2026-07-09T11:14:26Z</dcterms:created>
  <dcterms:modified xsi:type="dcterms:W3CDTF">2026-07-09T11:14:26Z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2026-07-09T00:00:00Z</vt:filetime>
  </property>
  <property fmtid="{D5CDD505-2E9C-101B-9397-08002B2CF9AE}" pid="4" name="LastSaved">
    <vt:filetime>2026-07-09T00:00:00Z</vt:filetime>
  </property>
  <property fmtid="{D5CDD505-2E9C-101B-9397-08002B2CF9AE}" pid="5" name="Producer">
    <vt:lpwstr>iLovePDF</vt:lpwstr>
  </property>
</Properties>
</file>