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rPr>
          <w:u w:val="none"/>
        </w:rPr>
      </w:pPr>
      <w:r>
        <w:rPr>
          <w:u w:val="single"/>
        </w:rPr>
        <w:t>ANNEX</w:t>
      </w:r>
      <w:r>
        <w:rPr>
          <w:spacing w:val="42"/>
          <w:u w:val="single"/>
        </w:rPr>
        <w:t> </w:t>
      </w:r>
      <w:r>
        <w:rPr>
          <w:spacing w:val="-10"/>
          <w:u w:val="single"/>
        </w:rPr>
        <w:t>4</w:t>
      </w:r>
    </w:p>
    <w:p>
      <w:pPr>
        <w:pStyle w:val="BodyText"/>
        <w:rPr>
          <w:b/>
        </w:rPr>
      </w:pPr>
    </w:p>
    <w:p>
      <w:pPr>
        <w:pStyle w:val="BodyText"/>
        <w:rPr>
          <w:b/>
        </w:rPr>
      </w:pPr>
    </w:p>
    <w:p>
      <w:pPr>
        <w:pStyle w:val="Heading2"/>
      </w:pPr>
      <w:r>
        <w:rPr>
          <w:spacing w:val="-2"/>
        </w:rPr>
        <w:t>MODEL</w:t>
      </w:r>
      <w:r>
        <w:rPr>
          <w:spacing w:val="-5"/>
        </w:rPr>
        <w:t> </w:t>
      </w:r>
      <w:r>
        <w:rPr>
          <w:spacing w:val="-2"/>
        </w:rPr>
        <w:t>D’OFERTA</w:t>
      </w:r>
      <w:r>
        <w:rPr>
          <w:spacing w:val="-5"/>
        </w:rPr>
        <w:t> </w:t>
      </w:r>
      <w:r>
        <w:rPr>
          <w:spacing w:val="-2"/>
        </w:rPr>
        <w:t>ECONÒMICA</w:t>
      </w:r>
      <w:r>
        <w:rPr>
          <w:spacing w:val="-3"/>
        </w:rPr>
        <w:t> </w:t>
      </w:r>
      <w:r>
        <w:rPr>
          <w:spacing w:val="-2"/>
        </w:rPr>
        <w:t>GENERAL</w:t>
      </w:r>
    </w:p>
    <w:p>
      <w:pPr>
        <w:pStyle w:val="BodyText"/>
        <w:rPr>
          <w:b/>
        </w:rPr>
      </w:pPr>
    </w:p>
    <w:p>
      <w:pPr>
        <w:pStyle w:val="BodyText"/>
        <w:rPr>
          <w:b/>
        </w:rPr>
      </w:pPr>
    </w:p>
    <w:p>
      <w:pPr>
        <w:pStyle w:val="BodyText"/>
        <w:tabs>
          <w:tab w:pos="1701" w:val="left" w:leader="none"/>
          <w:tab w:pos="3119" w:val="left" w:leader="none"/>
          <w:tab w:pos="5246" w:val="left" w:leader="none"/>
        </w:tabs>
        <w:ind w:left="284"/>
      </w:pPr>
      <w:r>
        <w:rPr>
          <w:spacing w:val="-2"/>
        </w:rPr>
        <w:t>En/na</w:t>
      </w:r>
      <w:r>
        <w:rPr/>
        <w:tab/>
        <w:t>,</w:t>
      </w:r>
      <w:r>
        <w:rPr>
          <w:spacing w:val="-2"/>
        </w:rPr>
        <w:t> </w:t>
      </w:r>
      <w:r>
        <w:rPr/>
        <w:t>amb</w:t>
      </w:r>
      <w:r>
        <w:rPr>
          <w:spacing w:val="-1"/>
        </w:rPr>
        <w:t> </w:t>
      </w:r>
      <w:r>
        <w:rPr>
          <w:spacing w:val="-5"/>
        </w:rPr>
        <w:t>NIF</w:t>
      </w:r>
      <w:r>
        <w:rPr/>
        <w:tab/>
        <w:t>,</w:t>
      </w:r>
      <w:r>
        <w:rPr>
          <w:spacing w:val="-5"/>
        </w:rPr>
        <w:t> </w:t>
      </w:r>
      <w:r>
        <w:rPr/>
        <w:t>en</w:t>
      </w:r>
      <w:r>
        <w:rPr>
          <w:spacing w:val="-1"/>
        </w:rPr>
        <w:t> </w:t>
      </w:r>
      <w:r>
        <w:rPr/>
        <w:t>qualitat</w:t>
      </w:r>
      <w:r>
        <w:rPr>
          <w:spacing w:val="-2"/>
        </w:rPr>
        <w:t> </w:t>
      </w:r>
      <w:r>
        <w:rPr>
          <w:spacing w:val="-5"/>
        </w:rPr>
        <w:t>de</w:t>
      </w:r>
      <w:r>
        <w:rPr/>
        <w:tab/>
        <w:t>i</w:t>
      </w:r>
      <w:r>
        <w:rPr>
          <w:spacing w:val="20"/>
        </w:rPr>
        <w:t> </w:t>
      </w:r>
      <w:r>
        <w:rPr/>
        <w:t>en</w:t>
      </w:r>
      <w:r>
        <w:rPr>
          <w:spacing w:val="22"/>
        </w:rPr>
        <w:t> </w:t>
      </w:r>
      <w:r>
        <w:rPr/>
        <w:t>nom</w:t>
      </w:r>
      <w:r>
        <w:rPr>
          <w:spacing w:val="22"/>
        </w:rPr>
        <w:t> </w:t>
      </w:r>
      <w:r>
        <w:rPr/>
        <w:t>i</w:t>
      </w:r>
      <w:r>
        <w:rPr>
          <w:spacing w:val="22"/>
        </w:rPr>
        <w:t> </w:t>
      </w:r>
      <w:r>
        <w:rPr/>
        <w:t>representació</w:t>
      </w:r>
      <w:r>
        <w:rPr>
          <w:spacing w:val="22"/>
        </w:rPr>
        <w:t> </w:t>
      </w:r>
      <w:r>
        <w:rPr/>
        <w:t>de</w:t>
      </w:r>
      <w:r>
        <w:rPr>
          <w:spacing w:val="22"/>
        </w:rPr>
        <w:t> </w:t>
      </w:r>
      <w:r>
        <w:rPr/>
        <w:t>la</w:t>
      </w:r>
      <w:r>
        <w:rPr>
          <w:spacing w:val="22"/>
        </w:rPr>
        <w:t> </w:t>
      </w:r>
      <w:r>
        <w:rPr>
          <w:spacing w:val="-2"/>
        </w:rPr>
        <w:t>societat</w:t>
      </w:r>
    </w:p>
    <w:p>
      <w:pPr>
        <w:pStyle w:val="BodyText"/>
        <w:tabs>
          <w:tab w:pos="1701" w:val="left" w:leader="none"/>
          <w:tab w:pos="5955" w:val="left" w:leader="none"/>
          <w:tab w:pos="7373" w:val="left" w:leader="none"/>
          <w:tab w:pos="8083" w:val="left" w:leader="none"/>
        </w:tabs>
        <w:ind w:left="284" w:right="281" w:firstLine="2127"/>
      </w:pPr>
      <w:r>
        <w:rPr/>
        <w:t>, amb CIF .................... i domiciliada a</w:t>
        <w:tab/>
        <w:tab/>
        <w:tab/>
      </w:r>
      <w:r>
        <w:rPr>
          <w:spacing w:val="-10"/>
        </w:rPr>
        <w:t>,</w:t>
      </w:r>
      <w:r>
        <w:rPr>
          <w:spacing w:val="40"/>
        </w:rPr>
        <w:t> </w:t>
      </w:r>
      <w:r>
        <w:rPr/>
        <w:t>segons escriptura pública autoritzada davant Notari/a</w:t>
        <w:tab/>
        <w:t>, en data</w:t>
        <w:tab/>
        <w:t>i</w:t>
      </w:r>
      <w:r>
        <w:rPr>
          <w:spacing w:val="79"/>
        </w:rPr>
        <w:t> </w:t>
      </w:r>
      <w:r>
        <w:rPr/>
        <w:t>amb</w:t>
      </w:r>
      <w:r>
        <w:rPr>
          <w:spacing w:val="79"/>
        </w:rPr>
        <w:t> </w:t>
      </w:r>
      <w:r>
        <w:rPr/>
        <w:t>número de protocol</w:t>
        <w:tab/>
      </w:r>
      <w:r>
        <w:rPr>
          <w:spacing w:val="-10"/>
        </w:rPr>
        <w:t>.</w:t>
      </w:r>
    </w:p>
    <w:p>
      <w:pPr>
        <w:pStyle w:val="BodyText"/>
        <w:tabs>
          <w:tab w:pos="5246" w:val="left" w:leader="none"/>
        </w:tabs>
        <w:ind w:left="284" w:right="278"/>
        <w:jc w:val="both"/>
      </w:pPr>
      <w:r>
        <w:rPr/>
        <w:t>, assabentat de l’anunci publicat en data</w:t>
        <w:tab/>
        <w:t>en el perfil del contractant de l’Ajuntament de Sabadell i de les condicions i requisits que s’exigeixen per a l’adjudicació del contracte anomenat </w:t>
      </w:r>
      <w:r>
        <w:rPr>
          <w:b/>
        </w:rPr>
        <w:t>“Subministrament de munició pràctiques de tir”, </w:t>
      </w:r>
      <w:r>
        <w:rPr/>
        <w:t>concorre a aquest procediment</w:t>
      </w:r>
      <w:r>
        <w:rPr>
          <w:spacing w:val="-14"/>
        </w:rPr>
        <w:t> </w:t>
      </w:r>
      <w:r>
        <w:rPr/>
        <w:t>i</w:t>
      </w:r>
      <w:r>
        <w:rPr>
          <w:spacing w:val="-14"/>
        </w:rPr>
        <w:t> </w:t>
      </w:r>
      <w:r>
        <w:rPr/>
        <w:t>es</w:t>
      </w:r>
      <w:r>
        <w:rPr>
          <w:spacing w:val="-13"/>
        </w:rPr>
        <w:t> </w:t>
      </w:r>
      <w:r>
        <w:rPr/>
        <w:t>compromet,</w:t>
      </w:r>
      <w:r>
        <w:rPr>
          <w:spacing w:val="-14"/>
        </w:rPr>
        <w:t> </w:t>
      </w:r>
      <w:r>
        <w:rPr/>
        <w:t>en</w:t>
      </w:r>
      <w:r>
        <w:rPr>
          <w:spacing w:val="-14"/>
        </w:rPr>
        <w:t> </w:t>
      </w:r>
      <w:r>
        <w:rPr/>
        <w:t>cas</w:t>
      </w:r>
      <w:r>
        <w:rPr>
          <w:spacing w:val="-13"/>
        </w:rPr>
        <w:t> </w:t>
      </w:r>
      <w:r>
        <w:rPr/>
        <w:t>de</w:t>
      </w:r>
      <w:r>
        <w:rPr>
          <w:spacing w:val="-14"/>
        </w:rPr>
        <w:t> </w:t>
      </w:r>
      <w:r>
        <w:rPr/>
        <w:t>ser</w:t>
      </w:r>
      <w:r>
        <w:rPr>
          <w:spacing w:val="-14"/>
        </w:rPr>
        <w:t> </w:t>
      </w:r>
      <w:r>
        <w:rPr/>
        <w:t>seleccionada</w:t>
      </w:r>
      <w:r>
        <w:rPr>
          <w:spacing w:val="-13"/>
        </w:rPr>
        <w:t> </w:t>
      </w:r>
      <w:r>
        <w:rPr/>
        <w:t>la</w:t>
      </w:r>
      <w:r>
        <w:rPr>
          <w:spacing w:val="-14"/>
        </w:rPr>
        <w:t> </w:t>
      </w:r>
      <w:r>
        <w:rPr/>
        <w:t>seva</w:t>
      </w:r>
      <w:r>
        <w:rPr>
          <w:spacing w:val="-14"/>
        </w:rPr>
        <w:t> </w:t>
      </w:r>
      <w:r>
        <w:rPr/>
        <w:t>oferta,</w:t>
      </w:r>
      <w:r>
        <w:rPr>
          <w:spacing w:val="-13"/>
        </w:rPr>
        <w:t> </w:t>
      </w:r>
      <w:r>
        <w:rPr/>
        <w:t>a</w:t>
      </w:r>
      <w:r>
        <w:rPr>
          <w:spacing w:val="-14"/>
        </w:rPr>
        <w:t> </w:t>
      </w:r>
      <w:r>
        <w:rPr/>
        <w:t>l’execució</w:t>
      </w:r>
      <w:r>
        <w:rPr>
          <w:spacing w:val="-14"/>
        </w:rPr>
        <w:t> </w:t>
      </w:r>
      <w:r>
        <w:rPr/>
        <w:t>del</w:t>
      </w:r>
      <w:r>
        <w:rPr>
          <w:spacing w:val="-13"/>
        </w:rPr>
        <w:t> </w:t>
      </w:r>
      <w:r>
        <w:rPr/>
        <w:t>contracte amb estricta subjecció al plec de clàusules administratives particulars, al plec de condicions tècniques</w:t>
      </w:r>
      <w:r>
        <w:rPr>
          <w:spacing w:val="-4"/>
        </w:rPr>
        <w:t> </w:t>
      </w:r>
      <w:r>
        <w:rPr/>
        <w:t>particulars</w:t>
      </w:r>
      <w:r>
        <w:rPr>
          <w:spacing w:val="-4"/>
        </w:rPr>
        <w:t> </w:t>
      </w:r>
      <w:r>
        <w:rPr/>
        <w:t>i</w:t>
      </w:r>
      <w:r>
        <w:rPr>
          <w:spacing w:val="-3"/>
        </w:rPr>
        <w:t> </w:t>
      </w:r>
      <w:r>
        <w:rPr/>
        <w:t>la</w:t>
      </w:r>
      <w:r>
        <w:rPr>
          <w:spacing w:val="-3"/>
        </w:rPr>
        <w:t> </w:t>
      </w:r>
      <w:r>
        <w:rPr/>
        <w:t>resta</w:t>
      </w:r>
      <w:r>
        <w:rPr>
          <w:spacing w:val="-4"/>
        </w:rPr>
        <w:t> </w:t>
      </w:r>
      <w:r>
        <w:rPr/>
        <w:t>de</w:t>
      </w:r>
      <w:r>
        <w:rPr>
          <w:spacing w:val="-3"/>
        </w:rPr>
        <w:t> </w:t>
      </w:r>
      <w:r>
        <w:rPr/>
        <w:t>documentació</w:t>
      </w:r>
      <w:r>
        <w:rPr>
          <w:spacing w:val="-4"/>
        </w:rPr>
        <w:t> </w:t>
      </w:r>
      <w:r>
        <w:rPr/>
        <w:t>que</w:t>
      </w:r>
      <w:r>
        <w:rPr>
          <w:spacing w:val="-3"/>
        </w:rPr>
        <w:t> </w:t>
      </w:r>
      <w:r>
        <w:rPr/>
        <w:t>forma</w:t>
      </w:r>
      <w:r>
        <w:rPr>
          <w:spacing w:val="-3"/>
        </w:rPr>
        <w:t> </w:t>
      </w:r>
      <w:r>
        <w:rPr/>
        <w:t>part</w:t>
      </w:r>
      <w:r>
        <w:rPr>
          <w:spacing w:val="-3"/>
        </w:rPr>
        <w:t> </w:t>
      </w:r>
      <w:r>
        <w:rPr/>
        <w:t>de</w:t>
      </w:r>
      <w:r>
        <w:rPr>
          <w:spacing w:val="-3"/>
        </w:rPr>
        <w:t> </w:t>
      </w:r>
      <w:r>
        <w:rPr/>
        <w:t>la</w:t>
      </w:r>
      <w:r>
        <w:rPr>
          <w:spacing w:val="-3"/>
        </w:rPr>
        <w:t> </w:t>
      </w:r>
      <w:r>
        <w:rPr/>
        <w:t>licitació.</w:t>
      </w:r>
    </w:p>
    <w:p>
      <w:pPr>
        <w:pStyle w:val="BodyText"/>
        <w:spacing w:before="230"/>
        <w:ind w:left="284" w:right="279"/>
        <w:jc w:val="both"/>
      </w:pPr>
      <w:r>
        <w:rPr/>
        <w:t>En relació als criteris d’adjudicació avaluables mitjançant l’aplicació de fórmules que preveu el Plec de clàusules administratives particulars fa constar que l’oferta presentada es desglossa conforme el següent:</w:t>
      </w:r>
    </w:p>
    <w:p>
      <w:pPr>
        <w:spacing w:line="472" w:lineRule="auto" w:before="230"/>
        <w:ind w:left="284" w:right="318" w:firstLine="0"/>
        <w:jc w:val="left"/>
        <w:rPr>
          <w:sz w:val="18"/>
        </w:rPr>
      </w:pPr>
      <w:r>
        <w:rPr>
          <w:b/>
          <w:sz w:val="20"/>
        </w:rPr>
        <w:t>Criteri</w:t>
      </w:r>
      <w:r>
        <w:rPr>
          <w:b/>
          <w:spacing w:val="-4"/>
          <w:sz w:val="20"/>
        </w:rPr>
        <w:t> </w:t>
      </w:r>
      <w:r>
        <w:rPr>
          <w:b/>
          <w:sz w:val="20"/>
        </w:rPr>
        <w:t>únic</w:t>
      </w:r>
      <w:r>
        <w:rPr>
          <w:b/>
          <w:spacing w:val="-3"/>
          <w:sz w:val="20"/>
        </w:rPr>
        <w:t> </w:t>
      </w:r>
      <w:r>
        <w:rPr>
          <w:b/>
          <w:sz w:val="20"/>
        </w:rPr>
        <w:t>d’adjudicació:</w:t>
      </w:r>
      <w:r>
        <w:rPr>
          <w:b/>
          <w:spacing w:val="-3"/>
          <w:sz w:val="20"/>
        </w:rPr>
        <w:t> </w:t>
      </w:r>
      <w:r>
        <w:rPr>
          <w:b/>
          <w:sz w:val="20"/>
        </w:rPr>
        <w:t>Millora</w:t>
      </w:r>
      <w:r>
        <w:rPr>
          <w:b/>
          <w:spacing w:val="-4"/>
          <w:sz w:val="20"/>
        </w:rPr>
        <w:t> </w:t>
      </w:r>
      <w:r>
        <w:rPr>
          <w:b/>
          <w:sz w:val="20"/>
        </w:rPr>
        <w:t>econòmica</w:t>
      </w:r>
      <w:r>
        <w:rPr>
          <w:b/>
          <w:spacing w:val="-3"/>
          <w:sz w:val="20"/>
        </w:rPr>
        <w:t> </w:t>
      </w:r>
      <w:r>
        <w:rPr>
          <w:b/>
          <w:sz w:val="20"/>
        </w:rPr>
        <w:t>en</w:t>
      </w:r>
      <w:r>
        <w:rPr>
          <w:b/>
          <w:spacing w:val="-4"/>
          <w:sz w:val="20"/>
        </w:rPr>
        <w:t> </w:t>
      </w:r>
      <w:r>
        <w:rPr>
          <w:b/>
          <w:sz w:val="20"/>
        </w:rPr>
        <w:t>el</w:t>
      </w:r>
      <w:r>
        <w:rPr>
          <w:b/>
          <w:spacing w:val="-4"/>
          <w:sz w:val="20"/>
        </w:rPr>
        <w:t> </w:t>
      </w:r>
      <w:r>
        <w:rPr>
          <w:b/>
          <w:sz w:val="20"/>
        </w:rPr>
        <w:t>preu</w:t>
      </w:r>
      <w:r>
        <w:rPr>
          <w:b/>
          <w:spacing w:val="-4"/>
          <w:sz w:val="20"/>
        </w:rPr>
        <w:t> </w:t>
      </w:r>
      <w:r>
        <w:rPr>
          <w:rFonts w:ascii="Verdana" w:hAnsi="Verdana"/>
          <w:b/>
          <w:sz w:val="20"/>
        </w:rPr>
        <w:t>(</w:t>
      </w:r>
      <w:r>
        <w:rPr>
          <w:b/>
          <w:sz w:val="20"/>
        </w:rPr>
        <w:t>Puntuació</w:t>
      </w:r>
      <w:r>
        <w:rPr>
          <w:b/>
          <w:spacing w:val="-4"/>
          <w:sz w:val="20"/>
        </w:rPr>
        <w:t> </w:t>
      </w:r>
      <w:r>
        <w:rPr>
          <w:b/>
          <w:sz w:val="20"/>
        </w:rPr>
        <w:t>màxima</w:t>
      </w:r>
      <w:r>
        <w:rPr>
          <w:b/>
          <w:spacing w:val="-3"/>
          <w:sz w:val="20"/>
        </w:rPr>
        <w:t> </w:t>
      </w:r>
      <w:r>
        <w:rPr>
          <w:b/>
          <w:sz w:val="20"/>
        </w:rPr>
        <w:t>100</w:t>
      </w:r>
      <w:r>
        <w:rPr>
          <w:b/>
          <w:spacing w:val="-3"/>
          <w:sz w:val="20"/>
        </w:rPr>
        <w:t> </w:t>
      </w:r>
      <w:r>
        <w:rPr>
          <w:b/>
          <w:sz w:val="20"/>
        </w:rPr>
        <w:t>punts). </w:t>
      </w:r>
      <w:r>
        <w:rPr>
          <w:sz w:val="20"/>
        </w:rPr>
        <w:t>Es</w:t>
      </w:r>
      <w:r>
        <w:rPr>
          <w:spacing w:val="-3"/>
          <w:sz w:val="20"/>
        </w:rPr>
        <w:t> </w:t>
      </w:r>
      <w:r>
        <w:rPr>
          <w:sz w:val="20"/>
        </w:rPr>
        <w:t>determina</w:t>
      </w:r>
      <w:r>
        <w:rPr>
          <w:spacing w:val="-4"/>
          <w:sz w:val="20"/>
        </w:rPr>
        <w:t> </w:t>
      </w:r>
      <w:r>
        <w:rPr>
          <w:sz w:val="20"/>
        </w:rPr>
        <w:t>com</w:t>
      </w:r>
      <w:r>
        <w:rPr>
          <w:spacing w:val="-3"/>
          <w:sz w:val="20"/>
        </w:rPr>
        <w:t> </w:t>
      </w:r>
      <w:r>
        <w:rPr>
          <w:sz w:val="20"/>
        </w:rPr>
        <w:t>a</w:t>
      </w:r>
      <w:r>
        <w:rPr>
          <w:spacing w:val="-3"/>
          <w:sz w:val="20"/>
        </w:rPr>
        <w:t> </w:t>
      </w:r>
      <w:r>
        <w:rPr>
          <w:sz w:val="20"/>
        </w:rPr>
        <w:t>preu</w:t>
      </w:r>
      <w:r>
        <w:rPr>
          <w:spacing w:val="-3"/>
          <w:sz w:val="20"/>
        </w:rPr>
        <w:t> </w:t>
      </w:r>
      <w:r>
        <w:rPr>
          <w:sz w:val="20"/>
        </w:rPr>
        <w:t>de</w:t>
      </w:r>
      <w:r>
        <w:rPr>
          <w:spacing w:val="-3"/>
          <w:sz w:val="20"/>
        </w:rPr>
        <w:t> </w:t>
      </w:r>
      <w:r>
        <w:rPr>
          <w:sz w:val="20"/>
        </w:rPr>
        <w:t>licitació,</w:t>
      </w:r>
      <w:r>
        <w:rPr>
          <w:spacing w:val="-4"/>
          <w:sz w:val="20"/>
        </w:rPr>
        <w:t> </w:t>
      </w:r>
      <w:r>
        <w:rPr>
          <w:sz w:val="20"/>
        </w:rPr>
        <w:t>el</w:t>
      </w:r>
      <w:r>
        <w:rPr>
          <w:spacing w:val="-3"/>
          <w:sz w:val="20"/>
        </w:rPr>
        <w:t> </w:t>
      </w:r>
      <w:r>
        <w:rPr>
          <w:sz w:val="20"/>
        </w:rPr>
        <w:t>preu</w:t>
      </w:r>
      <w:r>
        <w:rPr>
          <w:spacing w:val="-3"/>
          <w:sz w:val="20"/>
        </w:rPr>
        <w:t> </w:t>
      </w:r>
      <w:r>
        <w:rPr>
          <w:sz w:val="20"/>
        </w:rPr>
        <w:t>unitari</w:t>
      </w:r>
      <w:r>
        <w:rPr>
          <w:spacing w:val="-3"/>
          <w:sz w:val="20"/>
        </w:rPr>
        <w:t> </w:t>
      </w:r>
      <w:r>
        <w:rPr>
          <w:sz w:val="20"/>
        </w:rPr>
        <w:t>del</w:t>
      </w:r>
      <w:r>
        <w:rPr>
          <w:spacing w:val="-3"/>
          <w:sz w:val="20"/>
        </w:rPr>
        <w:t> </w:t>
      </w:r>
      <w:r>
        <w:rPr>
          <w:sz w:val="20"/>
        </w:rPr>
        <w:t>següent</w:t>
      </w:r>
      <w:r>
        <w:rPr>
          <w:spacing w:val="-4"/>
          <w:sz w:val="20"/>
        </w:rPr>
        <w:t> </w:t>
      </w:r>
      <w:r>
        <w:rPr>
          <w:sz w:val="20"/>
        </w:rPr>
        <w:t>article,</w:t>
      </w:r>
      <w:r>
        <w:rPr>
          <w:spacing w:val="-4"/>
          <w:sz w:val="20"/>
        </w:rPr>
        <w:t> </w:t>
      </w:r>
      <w:r>
        <w:rPr>
          <w:sz w:val="20"/>
        </w:rPr>
        <w:t>sense</w:t>
      </w:r>
      <w:r>
        <w:rPr>
          <w:spacing w:val="-3"/>
          <w:sz w:val="20"/>
        </w:rPr>
        <w:t> </w:t>
      </w:r>
      <w:r>
        <w:rPr>
          <w:sz w:val="20"/>
        </w:rPr>
        <w:t>IVA. </w:t>
      </w:r>
      <w:r>
        <w:rPr>
          <w:sz w:val="18"/>
          <w:u w:val="single"/>
        </w:rPr>
        <w:t>Desglossament de l’oferta amb relació al preu unitari del següent article a subministrar:</w:t>
      </w:r>
    </w:p>
    <w:p>
      <w:pPr>
        <w:spacing w:before="30"/>
        <w:ind w:left="284" w:right="0" w:firstLine="0"/>
        <w:jc w:val="both"/>
        <w:rPr>
          <w:sz w:val="16"/>
        </w:rPr>
      </w:pPr>
      <w:r>
        <w:rPr>
          <w:sz w:val="16"/>
        </w:rPr>
        <w:t>A</w:t>
      </w:r>
      <w:r>
        <w:rPr>
          <w:spacing w:val="-8"/>
          <w:sz w:val="16"/>
        </w:rPr>
        <w:t> </w:t>
      </w:r>
      <w:r>
        <w:rPr>
          <w:sz w:val="16"/>
        </w:rPr>
        <w:t>complimentar</w:t>
      </w:r>
      <w:r>
        <w:rPr>
          <w:spacing w:val="-2"/>
          <w:sz w:val="16"/>
        </w:rPr>
        <w:t> </w:t>
      </w:r>
      <w:r>
        <w:rPr>
          <w:sz w:val="16"/>
        </w:rPr>
        <w:t>per</w:t>
      </w:r>
      <w:r>
        <w:rPr>
          <w:spacing w:val="-1"/>
          <w:sz w:val="16"/>
        </w:rPr>
        <w:t> </w:t>
      </w:r>
      <w:r>
        <w:rPr>
          <w:sz w:val="16"/>
        </w:rPr>
        <w:t>part</w:t>
      </w:r>
      <w:r>
        <w:rPr>
          <w:spacing w:val="-3"/>
          <w:sz w:val="16"/>
        </w:rPr>
        <w:t> </w:t>
      </w:r>
      <w:r>
        <w:rPr>
          <w:sz w:val="16"/>
        </w:rPr>
        <w:t>de</w:t>
      </w:r>
      <w:r>
        <w:rPr>
          <w:spacing w:val="-2"/>
          <w:sz w:val="16"/>
        </w:rPr>
        <w:t> </w:t>
      </w:r>
      <w:r>
        <w:rPr>
          <w:sz w:val="16"/>
        </w:rPr>
        <w:t>l’empresa,</w:t>
      </w:r>
      <w:r>
        <w:rPr>
          <w:spacing w:val="-2"/>
          <w:sz w:val="16"/>
        </w:rPr>
        <w:t> </w:t>
      </w:r>
      <w:r>
        <w:rPr>
          <w:sz w:val="16"/>
        </w:rPr>
        <w:t>només</w:t>
      </w:r>
      <w:r>
        <w:rPr>
          <w:spacing w:val="-2"/>
          <w:sz w:val="16"/>
        </w:rPr>
        <w:t> </w:t>
      </w:r>
      <w:r>
        <w:rPr>
          <w:sz w:val="16"/>
        </w:rPr>
        <w:t>les</w:t>
      </w:r>
      <w:r>
        <w:rPr>
          <w:spacing w:val="-2"/>
          <w:sz w:val="16"/>
        </w:rPr>
        <w:t> </w:t>
      </w:r>
      <w:r>
        <w:rPr>
          <w:sz w:val="16"/>
        </w:rPr>
        <w:t>cel·les</w:t>
      </w:r>
      <w:r>
        <w:rPr>
          <w:spacing w:val="-2"/>
          <w:sz w:val="16"/>
        </w:rPr>
        <w:t> ombrejades:</w:t>
      </w:r>
    </w:p>
    <w:tbl>
      <w:tblPr>
        <w:tblW w:w="0" w:type="auto"/>
        <w:jc w:val="left"/>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44"/>
        <w:gridCol w:w="1306"/>
        <w:gridCol w:w="629"/>
        <w:gridCol w:w="825"/>
        <w:gridCol w:w="1490"/>
      </w:tblGrid>
      <w:tr>
        <w:trPr>
          <w:trHeight w:val="919" w:hRule="atLeast"/>
        </w:trPr>
        <w:tc>
          <w:tcPr>
            <w:tcW w:w="4644" w:type="dxa"/>
          </w:tcPr>
          <w:p>
            <w:pPr>
              <w:pStyle w:val="TableParagraph"/>
              <w:spacing w:before="183"/>
              <w:rPr>
                <w:sz w:val="16"/>
              </w:rPr>
            </w:pPr>
          </w:p>
          <w:p>
            <w:pPr>
              <w:pStyle w:val="TableParagraph"/>
              <w:spacing w:before="1"/>
              <w:ind w:left="10" w:right="1"/>
              <w:jc w:val="center"/>
              <w:rPr>
                <w:b/>
                <w:sz w:val="16"/>
              </w:rPr>
            </w:pPr>
            <w:r>
              <w:rPr>
                <w:b/>
                <w:sz w:val="16"/>
              </w:rPr>
              <w:t>Descripció</w:t>
            </w:r>
            <w:r>
              <w:rPr>
                <w:b/>
                <w:spacing w:val="-5"/>
                <w:sz w:val="16"/>
              </w:rPr>
              <w:t> </w:t>
            </w:r>
            <w:r>
              <w:rPr>
                <w:b/>
                <w:spacing w:val="-2"/>
                <w:sz w:val="16"/>
              </w:rPr>
              <w:t>material/article</w:t>
            </w:r>
          </w:p>
        </w:tc>
        <w:tc>
          <w:tcPr>
            <w:tcW w:w="1306" w:type="dxa"/>
          </w:tcPr>
          <w:p>
            <w:pPr>
              <w:pStyle w:val="TableParagraph"/>
              <w:spacing w:before="184"/>
              <w:ind w:left="12"/>
              <w:jc w:val="center"/>
              <w:rPr>
                <w:b/>
                <w:sz w:val="16"/>
              </w:rPr>
            </w:pPr>
            <w:r>
              <w:rPr>
                <w:b/>
                <w:sz w:val="16"/>
              </w:rPr>
              <w:t>Preu unitari màxim</w:t>
            </w:r>
            <w:r>
              <w:rPr>
                <w:b/>
                <w:spacing w:val="-12"/>
                <w:sz w:val="16"/>
              </w:rPr>
              <w:t> </w:t>
            </w:r>
            <w:r>
              <w:rPr>
                <w:b/>
                <w:sz w:val="16"/>
              </w:rPr>
              <w:t>(sense </w:t>
            </w:r>
            <w:r>
              <w:rPr>
                <w:b/>
                <w:spacing w:val="-4"/>
                <w:sz w:val="16"/>
              </w:rPr>
              <w:t>IVA)</w:t>
            </w:r>
          </w:p>
        </w:tc>
        <w:tc>
          <w:tcPr>
            <w:tcW w:w="629" w:type="dxa"/>
          </w:tcPr>
          <w:p>
            <w:pPr>
              <w:pStyle w:val="TableParagraph"/>
              <w:spacing w:line="180" w:lineRule="atLeast"/>
              <w:ind w:left="70" w:right="57" w:hanging="1"/>
              <w:jc w:val="center"/>
              <w:rPr>
                <w:b/>
                <w:sz w:val="16"/>
              </w:rPr>
            </w:pPr>
            <w:r>
              <w:rPr>
                <w:b/>
                <w:spacing w:val="-4"/>
                <w:sz w:val="16"/>
              </w:rPr>
              <w:t>Preu </w:t>
            </w:r>
            <w:r>
              <w:rPr>
                <w:b/>
                <w:spacing w:val="-2"/>
                <w:sz w:val="16"/>
              </w:rPr>
              <w:t>unitari ofert sense </w:t>
            </w:r>
            <w:r>
              <w:rPr>
                <w:b/>
                <w:spacing w:val="-4"/>
                <w:sz w:val="16"/>
              </w:rPr>
              <w:t>IVA</w:t>
            </w:r>
          </w:p>
        </w:tc>
        <w:tc>
          <w:tcPr>
            <w:tcW w:w="825" w:type="dxa"/>
          </w:tcPr>
          <w:p>
            <w:pPr>
              <w:pStyle w:val="TableParagraph"/>
              <w:spacing w:before="184"/>
              <w:ind w:left="25" w:right="13"/>
              <w:jc w:val="center"/>
              <w:rPr>
                <w:b/>
                <w:sz w:val="16"/>
              </w:rPr>
            </w:pPr>
            <w:r>
              <w:rPr>
                <w:b/>
                <w:spacing w:val="-2"/>
                <w:sz w:val="16"/>
              </w:rPr>
              <w:t>Tipus d’IVA</w:t>
            </w:r>
          </w:p>
          <w:p>
            <w:pPr>
              <w:pStyle w:val="TableParagraph"/>
              <w:ind w:left="25" w:right="16"/>
              <w:jc w:val="center"/>
              <w:rPr>
                <w:b/>
                <w:sz w:val="16"/>
              </w:rPr>
            </w:pPr>
            <w:r>
              <w:rPr>
                <w:b/>
                <w:spacing w:val="-2"/>
                <w:sz w:val="16"/>
              </w:rPr>
              <w:t>aplicable</w:t>
            </w:r>
          </w:p>
        </w:tc>
        <w:tc>
          <w:tcPr>
            <w:tcW w:w="1490" w:type="dxa"/>
          </w:tcPr>
          <w:p>
            <w:pPr>
              <w:pStyle w:val="TableParagraph"/>
              <w:spacing w:before="184"/>
              <w:ind w:left="12"/>
              <w:jc w:val="center"/>
              <w:rPr>
                <w:b/>
                <w:sz w:val="16"/>
              </w:rPr>
            </w:pPr>
            <w:r>
              <w:rPr>
                <w:b/>
                <w:sz w:val="16"/>
              </w:rPr>
              <w:t>Preu</w:t>
            </w:r>
            <w:r>
              <w:rPr>
                <w:b/>
                <w:spacing w:val="-12"/>
                <w:sz w:val="16"/>
              </w:rPr>
              <w:t> </w:t>
            </w:r>
            <w:r>
              <w:rPr>
                <w:b/>
                <w:sz w:val="16"/>
              </w:rPr>
              <w:t>unitari</w:t>
            </w:r>
            <w:r>
              <w:rPr>
                <w:b/>
                <w:spacing w:val="-11"/>
                <w:sz w:val="16"/>
              </w:rPr>
              <w:t> </w:t>
            </w:r>
            <w:r>
              <w:rPr>
                <w:b/>
                <w:sz w:val="16"/>
              </w:rPr>
              <w:t>ofert </w:t>
            </w:r>
            <w:r>
              <w:rPr>
                <w:b/>
                <w:spacing w:val="-4"/>
                <w:sz w:val="16"/>
              </w:rPr>
              <w:t>amb</w:t>
            </w:r>
          </w:p>
          <w:p>
            <w:pPr>
              <w:pStyle w:val="TableParagraph"/>
              <w:ind w:left="12" w:right="3"/>
              <w:jc w:val="center"/>
              <w:rPr>
                <w:b/>
                <w:sz w:val="16"/>
              </w:rPr>
            </w:pPr>
            <w:r>
              <w:rPr>
                <w:b/>
                <w:sz w:val="16"/>
              </w:rPr>
              <w:t>IVA</w:t>
            </w:r>
            <w:r>
              <w:rPr>
                <w:b/>
                <w:spacing w:val="-2"/>
                <w:sz w:val="16"/>
              </w:rPr>
              <w:t> inclòs</w:t>
            </w:r>
          </w:p>
        </w:tc>
      </w:tr>
      <w:tr>
        <w:trPr>
          <w:trHeight w:val="519" w:hRule="atLeast"/>
        </w:trPr>
        <w:tc>
          <w:tcPr>
            <w:tcW w:w="4644" w:type="dxa"/>
          </w:tcPr>
          <w:p>
            <w:pPr>
              <w:pStyle w:val="TableParagraph"/>
              <w:spacing w:before="156"/>
              <w:ind w:left="10"/>
              <w:jc w:val="center"/>
              <w:rPr>
                <w:sz w:val="18"/>
              </w:rPr>
            </w:pPr>
            <w:r>
              <w:rPr>
                <w:sz w:val="18"/>
              </w:rPr>
              <w:t>Cartutxos</w:t>
            </w:r>
            <w:r>
              <w:rPr>
                <w:spacing w:val="-4"/>
                <w:sz w:val="18"/>
              </w:rPr>
              <w:t> </w:t>
            </w:r>
            <w:r>
              <w:rPr>
                <w:sz w:val="18"/>
              </w:rPr>
              <w:t>calibre</w:t>
            </w:r>
            <w:r>
              <w:rPr>
                <w:spacing w:val="-3"/>
                <w:sz w:val="18"/>
              </w:rPr>
              <w:t> </w:t>
            </w:r>
            <w:r>
              <w:rPr>
                <w:sz w:val="18"/>
              </w:rPr>
              <w:t>9x19</w:t>
            </w:r>
            <w:r>
              <w:rPr>
                <w:spacing w:val="-4"/>
                <w:sz w:val="18"/>
              </w:rPr>
              <w:t> </w:t>
            </w:r>
            <w:r>
              <w:rPr>
                <w:sz w:val="18"/>
              </w:rPr>
              <w:t>parabellum</w:t>
            </w:r>
            <w:r>
              <w:rPr>
                <w:spacing w:val="-3"/>
                <w:sz w:val="18"/>
              </w:rPr>
              <w:t> </w:t>
            </w:r>
            <w:r>
              <w:rPr>
                <w:sz w:val="18"/>
              </w:rPr>
              <w:t>124g</w:t>
            </w:r>
            <w:r>
              <w:rPr>
                <w:spacing w:val="-3"/>
                <w:sz w:val="18"/>
              </w:rPr>
              <w:t> </w:t>
            </w:r>
            <w:r>
              <w:rPr>
                <w:spacing w:val="-2"/>
                <w:sz w:val="18"/>
              </w:rPr>
              <w:t>blindada.</w:t>
            </w:r>
          </w:p>
        </w:tc>
        <w:tc>
          <w:tcPr>
            <w:tcW w:w="1306" w:type="dxa"/>
          </w:tcPr>
          <w:p>
            <w:pPr>
              <w:pStyle w:val="TableParagraph"/>
              <w:spacing w:before="156"/>
              <w:ind w:left="402"/>
              <w:rPr>
                <w:sz w:val="18"/>
              </w:rPr>
            </w:pPr>
            <w:r>
              <w:rPr>
                <w:sz w:val="18"/>
              </w:rPr>
              <w:t>0,60</w:t>
            </w:r>
            <w:r>
              <w:rPr>
                <w:spacing w:val="-3"/>
                <w:sz w:val="18"/>
              </w:rPr>
              <w:t> </w:t>
            </w:r>
            <w:r>
              <w:rPr>
                <w:spacing w:val="-10"/>
                <w:sz w:val="18"/>
              </w:rPr>
              <w:t>€</w:t>
            </w:r>
          </w:p>
        </w:tc>
        <w:tc>
          <w:tcPr>
            <w:tcW w:w="629" w:type="dxa"/>
            <w:shd w:val="clear" w:color="auto" w:fill="D9D9D9"/>
          </w:tcPr>
          <w:p>
            <w:pPr>
              <w:pStyle w:val="TableParagraph"/>
              <w:rPr>
                <w:rFonts w:ascii="Times New Roman"/>
                <w:sz w:val="18"/>
              </w:rPr>
            </w:pPr>
          </w:p>
        </w:tc>
        <w:tc>
          <w:tcPr>
            <w:tcW w:w="825" w:type="dxa"/>
            <w:shd w:val="clear" w:color="auto" w:fill="D9D9D9"/>
          </w:tcPr>
          <w:p>
            <w:pPr>
              <w:pStyle w:val="TableParagraph"/>
              <w:rPr>
                <w:rFonts w:ascii="Times New Roman"/>
                <w:sz w:val="18"/>
              </w:rPr>
            </w:pPr>
          </w:p>
        </w:tc>
        <w:tc>
          <w:tcPr>
            <w:tcW w:w="1490" w:type="dxa"/>
            <w:shd w:val="clear" w:color="auto" w:fill="D9D9D9"/>
          </w:tcPr>
          <w:p>
            <w:pPr>
              <w:pStyle w:val="TableParagraph"/>
              <w:rPr>
                <w:rFonts w:ascii="Times New Roman"/>
                <w:sz w:val="18"/>
              </w:rPr>
            </w:pPr>
          </w:p>
        </w:tc>
      </w:tr>
    </w:tbl>
    <w:p>
      <w:pPr>
        <w:spacing w:before="1"/>
        <w:ind w:left="284" w:right="280" w:firstLine="0"/>
        <w:jc w:val="both"/>
        <w:rPr>
          <w:sz w:val="16"/>
        </w:rPr>
      </w:pPr>
      <w:r>
        <w:rPr>
          <w:sz w:val="16"/>
        </w:rPr>
        <w:t>*El preu unitari ofert, haurà de ser igual o inferior al preu unitari màxim, exempt IVA, establert en l’apartat I de l’Annex 1 del quadre resum, mai superior. En cas d’oferir un import superior s’exclourà l’oferta. S’haurà d’expressar únicament amb dos decimals. No es pot posar zero ni deixar en blanc (en aquest cas s’entendrà que l’empresa no vol oferir baixa econòmica i es puntuarà amb 0 punts). En els casos que no es vulgui fer baixa, caldrà posar l’import del preu unitari màxim i es puntuarà amb 0 punts.</w:t>
      </w:r>
    </w:p>
    <w:p>
      <w:pPr>
        <w:pStyle w:val="BodyText"/>
        <w:spacing w:before="229" w:after="1"/>
      </w:pPr>
    </w:p>
    <w:tbl>
      <w:tblPr>
        <w:tblW w:w="0" w:type="auto"/>
        <w:jc w:val="left"/>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70"/>
        <w:gridCol w:w="1417"/>
        <w:gridCol w:w="3858"/>
      </w:tblGrid>
      <w:tr>
        <w:trPr>
          <w:trHeight w:val="413" w:hRule="atLeast"/>
        </w:trPr>
        <w:tc>
          <w:tcPr>
            <w:tcW w:w="3370" w:type="dxa"/>
          </w:tcPr>
          <w:p>
            <w:pPr>
              <w:pStyle w:val="TableParagraph"/>
              <w:spacing w:line="200" w:lineRule="atLeast"/>
              <w:ind w:left="108"/>
              <w:rPr>
                <w:b/>
                <w:sz w:val="18"/>
              </w:rPr>
            </w:pPr>
            <w:r>
              <w:rPr>
                <w:b/>
                <w:sz w:val="18"/>
              </w:rPr>
              <w:t>Pressupost</w:t>
            </w:r>
            <w:r>
              <w:rPr>
                <w:b/>
                <w:spacing w:val="40"/>
                <w:sz w:val="18"/>
              </w:rPr>
              <w:t> </w:t>
            </w:r>
            <w:r>
              <w:rPr>
                <w:b/>
                <w:sz w:val="18"/>
              </w:rPr>
              <w:t>base</w:t>
            </w:r>
            <w:r>
              <w:rPr>
                <w:b/>
                <w:spacing w:val="40"/>
                <w:sz w:val="18"/>
              </w:rPr>
              <w:t> </w:t>
            </w:r>
            <w:r>
              <w:rPr>
                <w:b/>
                <w:sz w:val="18"/>
              </w:rPr>
              <w:t>de</w:t>
            </w:r>
            <w:r>
              <w:rPr>
                <w:b/>
                <w:spacing w:val="40"/>
                <w:sz w:val="18"/>
              </w:rPr>
              <w:t> </w:t>
            </w:r>
            <w:r>
              <w:rPr>
                <w:b/>
                <w:sz w:val="18"/>
              </w:rPr>
              <w:t>licitació,</w:t>
            </w:r>
            <w:r>
              <w:rPr>
                <w:b/>
                <w:spacing w:val="40"/>
                <w:sz w:val="18"/>
              </w:rPr>
              <w:t> </w:t>
            </w:r>
            <w:r>
              <w:rPr>
                <w:b/>
                <w:sz w:val="18"/>
              </w:rPr>
              <w:t>IVA </w:t>
            </w:r>
            <w:r>
              <w:rPr>
                <w:b/>
                <w:spacing w:val="-2"/>
                <w:sz w:val="18"/>
              </w:rPr>
              <w:t>exclòs</w:t>
            </w:r>
          </w:p>
        </w:tc>
        <w:tc>
          <w:tcPr>
            <w:tcW w:w="1417" w:type="dxa"/>
          </w:tcPr>
          <w:p>
            <w:pPr>
              <w:pStyle w:val="TableParagraph"/>
              <w:ind w:left="353"/>
              <w:rPr>
                <w:b/>
                <w:sz w:val="18"/>
              </w:rPr>
            </w:pPr>
            <w:r>
              <w:rPr>
                <w:b/>
                <w:sz w:val="18"/>
              </w:rPr>
              <w:t>IVA</w:t>
            </w:r>
            <w:r>
              <w:rPr>
                <w:b/>
                <w:spacing w:val="-2"/>
                <w:sz w:val="18"/>
              </w:rPr>
              <w:t> </w:t>
            </w:r>
            <w:r>
              <w:rPr>
                <w:b/>
                <w:spacing w:val="-5"/>
                <w:sz w:val="18"/>
              </w:rPr>
              <w:t>21%</w:t>
            </w:r>
          </w:p>
        </w:tc>
        <w:tc>
          <w:tcPr>
            <w:tcW w:w="3858" w:type="dxa"/>
          </w:tcPr>
          <w:p>
            <w:pPr>
              <w:pStyle w:val="TableParagraph"/>
              <w:ind w:left="233"/>
              <w:rPr>
                <w:b/>
                <w:sz w:val="18"/>
              </w:rPr>
            </w:pPr>
            <w:r>
              <w:rPr>
                <w:b/>
                <w:sz w:val="18"/>
              </w:rPr>
              <w:t>Pressupost</w:t>
            </w:r>
            <w:r>
              <w:rPr>
                <w:b/>
                <w:spacing w:val="-3"/>
                <w:sz w:val="18"/>
              </w:rPr>
              <w:t> </w:t>
            </w:r>
            <w:r>
              <w:rPr>
                <w:b/>
                <w:sz w:val="18"/>
              </w:rPr>
              <w:t>base</w:t>
            </w:r>
            <w:r>
              <w:rPr>
                <w:b/>
                <w:spacing w:val="-2"/>
                <w:sz w:val="18"/>
              </w:rPr>
              <w:t> </w:t>
            </w:r>
            <w:r>
              <w:rPr>
                <w:b/>
                <w:sz w:val="18"/>
              </w:rPr>
              <w:t>de</w:t>
            </w:r>
            <w:r>
              <w:rPr>
                <w:b/>
                <w:spacing w:val="-2"/>
                <w:sz w:val="18"/>
              </w:rPr>
              <w:t> </w:t>
            </w:r>
            <w:r>
              <w:rPr>
                <w:b/>
                <w:sz w:val="18"/>
              </w:rPr>
              <w:t>licitació,</w:t>
            </w:r>
            <w:r>
              <w:rPr>
                <w:b/>
                <w:spacing w:val="-3"/>
                <w:sz w:val="18"/>
              </w:rPr>
              <w:t> </w:t>
            </w:r>
            <w:r>
              <w:rPr>
                <w:b/>
                <w:sz w:val="18"/>
              </w:rPr>
              <w:t>IVA</w:t>
            </w:r>
            <w:r>
              <w:rPr>
                <w:b/>
                <w:spacing w:val="-2"/>
                <w:sz w:val="18"/>
              </w:rPr>
              <w:t> inclòs</w:t>
            </w:r>
          </w:p>
        </w:tc>
      </w:tr>
      <w:tr>
        <w:trPr>
          <w:trHeight w:val="206" w:hRule="atLeast"/>
        </w:trPr>
        <w:tc>
          <w:tcPr>
            <w:tcW w:w="3370" w:type="dxa"/>
          </w:tcPr>
          <w:p>
            <w:pPr>
              <w:pStyle w:val="TableParagraph"/>
              <w:spacing w:line="187" w:lineRule="exact"/>
              <w:ind w:right="97"/>
              <w:jc w:val="right"/>
              <w:rPr>
                <w:sz w:val="18"/>
              </w:rPr>
            </w:pPr>
            <w:r>
              <w:rPr>
                <w:sz w:val="18"/>
              </w:rPr>
              <w:t>42.000,00</w:t>
            </w:r>
            <w:r>
              <w:rPr>
                <w:spacing w:val="-7"/>
                <w:sz w:val="18"/>
              </w:rPr>
              <w:t> </w:t>
            </w:r>
            <w:r>
              <w:rPr>
                <w:spacing w:val="-10"/>
                <w:sz w:val="18"/>
              </w:rPr>
              <w:t>€</w:t>
            </w:r>
          </w:p>
        </w:tc>
        <w:tc>
          <w:tcPr>
            <w:tcW w:w="1417" w:type="dxa"/>
          </w:tcPr>
          <w:p>
            <w:pPr>
              <w:pStyle w:val="TableParagraph"/>
              <w:spacing w:line="187" w:lineRule="exact"/>
              <w:ind w:left="408"/>
              <w:rPr>
                <w:sz w:val="18"/>
              </w:rPr>
            </w:pPr>
            <w:r>
              <w:rPr>
                <w:sz w:val="18"/>
              </w:rPr>
              <w:t>8.820,00</w:t>
            </w:r>
            <w:r>
              <w:rPr>
                <w:spacing w:val="43"/>
                <w:sz w:val="18"/>
              </w:rPr>
              <w:t> </w:t>
            </w:r>
            <w:r>
              <w:rPr>
                <w:spacing w:val="-10"/>
                <w:sz w:val="18"/>
              </w:rPr>
              <w:t>€</w:t>
            </w:r>
          </w:p>
        </w:tc>
        <w:tc>
          <w:tcPr>
            <w:tcW w:w="3858" w:type="dxa"/>
          </w:tcPr>
          <w:p>
            <w:pPr>
              <w:pStyle w:val="TableParagraph"/>
              <w:spacing w:line="187" w:lineRule="exact"/>
              <w:ind w:right="97"/>
              <w:jc w:val="right"/>
              <w:rPr>
                <w:sz w:val="18"/>
              </w:rPr>
            </w:pPr>
            <w:r>
              <w:rPr>
                <w:sz w:val="18"/>
              </w:rPr>
              <w:t>50.820,00</w:t>
            </w:r>
            <w:r>
              <w:rPr>
                <w:spacing w:val="44"/>
                <w:sz w:val="18"/>
              </w:rPr>
              <w:t> </w:t>
            </w:r>
            <w:r>
              <w:rPr>
                <w:spacing w:val="-10"/>
                <w:sz w:val="18"/>
              </w:rPr>
              <w:t>€</w:t>
            </w:r>
          </w:p>
        </w:tc>
      </w:tr>
    </w:tbl>
    <w:p>
      <w:pPr>
        <w:pStyle w:val="BodyText"/>
        <w:rPr>
          <w:sz w:val="18"/>
        </w:rPr>
      </w:pPr>
    </w:p>
    <w:p>
      <w:pPr>
        <w:pStyle w:val="BodyText"/>
        <w:spacing w:before="1"/>
        <w:rPr>
          <w:sz w:val="18"/>
        </w:rPr>
      </w:pPr>
    </w:p>
    <w:p>
      <w:pPr>
        <w:spacing w:before="1"/>
        <w:ind w:left="284" w:right="0" w:firstLine="0"/>
        <w:jc w:val="left"/>
        <w:rPr>
          <w:sz w:val="18"/>
        </w:rPr>
      </w:pPr>
      <w:r>
        <w:rPr>
          <w:sz w:val="18"/>
        </w:rPr>
        <w:t>A</w:t>
      </w:r>
      <w:r>
        <w:rPr>
          <w:spacing w:val="-5"/>
          <w:sz w:val="18"/>
        </w:rPr>
        <w:t> </w:t>
      </w:r>
      <w:r>
        <w:rPr>
          <w:sz w:val="18"/>
        </w:rPr>
        <w:t>complimentar</w:t>
      </w:r>
      <w:r>
        <w:rPr>
          <w:spacing w:val="-2"/>
          <w:sz w:val="18"/>
        </w:rPr>
        <w:t> </w:t>
      </w:r>
      <w:r>
        <w:rPr>
          <w:sz w:val="18"/>
        </w:rPr>
        <w:t>per</w:t>
      </w:r>
      <w:r>
        <w:rPr>
          <w:spacing w:val="-2"/>
          <w:sz w:val="18"/>
        </w:rPr>
        <w:t> </w:t>
      </w:r>
      <w:r>
        <w:rPr>
          <w:sz w:val="18"/>
        </w:rPr>
        <w:t>l’empresa,</w:t>
      </w:r>
      <w:r>
        <w:rPr>
          <w:spacing w:val="-3"/>
          <w:sz w:val="18"/>
        </w:rPr>
        <w:t> </w:t>
      </w:r>
      <w:r>
        <w:rPr>
          <w:sz w:val="18"/>
        </w:rPr>
        <w:t>només</w:t>
      </w:r>
      <w:r>
        <w:rPr>
          <w:spacing w:val="-2"/>
          <w:sz w:val="18"/>
        </w:rPr>
        <w:t> </w:t>
      </w:r>
      <w:r>
        <w:rPr>
          <w:sz w:val="18"/>
        </w:rPr>
        <w:t>les</w:t>
      </w:r>
      <w:r>
        <w:rPr>
          <w:spacing w:val="-3"/>
          <w:sz w:val="18"/>
        </w:rPr>
        <w:t> </w:t>
      </w:r>
      <w:r>
        <w:rPr>
          <w:sz w:val="18"/>
        </w:rPr>
        <w:t>cel·les</w:t>
      </w:r>
      <w:r>
        <w:rPr>
          <w:spacing w:val="-2"/>
          <w:sz w:val="18"/>
        </w:rPr>
        <w:t> ombrejades</w:t>
      </w:r>
    </w:p>
    <w:tbl>
      <w:tblPr>
        <w:tblW w:w="0" w:type="auto"/>
        <w:jc w:val="left"/>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70"/>
        <w:gridCol w:w="1842"/>
        <w:gridCol w:w="3433"/>
      </w:tblGrid>
      <w:tr>
        <w:trPr>
          <w:trHeight w:val="413" w:hRule="atLeast"/>
        </w:trPr>
        <w:tc>
          <w:tcPr>
            <w:tcW w:w="3370" w:type="dxa"/>
          </w:tcPr>
          <w:p>
            <w:pPr>
              <w:pStyle w:val="TableParagraph"/>
              <w:spacing w:line="200" w:lineRule="atLeast"/>
              <w:ind w:left="108"/>
              <w:rPr>
                <w:b/>
                <w:sz w:val="18"/>
              </w:rPr>
            </w:pPr>
            <w:r>
              <w:rPr>
                <w:b/>
                <w:sz w:val="18"/>
              </w:rPr>
              <w:t>Pressupost</w:t>
            </w:r>
            <w:r>
              <w:rPr>
                <w:b/>
                <w:spacing w:val="40"/>
                <w:sz w:val="18"/>
              </w:rPr>
              <w:t> </w:t>
            </w:r>
            <w:r>
              <w:rPr>
                <w:b/>
                <w:sz w:val="18"/>
              </w:rPr>
              <w:t>base</w:t>
            </w:r>
            <w:r>
              <w:rPr>
                <w:b/>
                <w:spacing w:val="40"/>
                <w:sz w:val="18"/>
              </w:rPr>
              <w:t> </w:t>
            </w:r>
            <w:r>
              <w:rPr>
                <w:b/>
                <w:sz w:val="18"/>
              </w:rPr>
              <w:t>de</w:t>
            </w:r>
            <w:r>
              <w:rPr>
                <w:b/>
                <w:spacing w:val="40"/>
                <w:sz w:val="18"/>
              </w:rPr>
              <w:t> </w:t>
            </w:r>
            <w:r>
              <w:rPr>
                <w:b/>
                <w:sz w:val="18"/>
              </w:rPr>
              <w:t>licitació</w:t>
            </w:r>
            <w:r>
              <w:rPr>
                <w:b/>
                <w:spacing w:val="40"/>
                <w:sz w:val="18"/>
              </w:rPr>
              <w:t> </w:t>
            </w:r>
            <w:r>
              <w:rPr>
                <w:b/>
                <w:sz w:val="18"/>
              </w:rPr>
              <w:t>ofert, IVA exclòs</w:t>
            </w:r>
          </w:p>
        </w:tc>
        <w:tc>
          <w:tcPr>
            <w:tcW w:w="1842" w:type="dxa"/>
          </w:tcPr>
          <w:p>
            <w:pPr>
              <w:pStyle w:val="TableParagraph"/>
              <w:tabs>
                <w:tab w:pos="1368" w:val="left" w:leader="none"/>
              </w:tabs>
              <w:ind w:left="108"/>
              <w:rPr>
                <w:b/>
                <w:sz w:val="18"/>
              </w:rPr>
            </w:pPr>
            <w:r>
              <w:rPr>
                <w:b/>
                <w:sz w:val="18"/>
              </w:rPr>
              <w:t>Import IVA </w:t>
            </w:r>
            <w:r>
              <w:rPr>
                <w:b/>
                <w:sz w:val="18"/>
                <w:u w:val="single"/>
              </w:rPr>
              <w:tab/>
            </w:r>
            <w:r>
              <w:rPr>
                <w:b/>
                <w:spacing w:val="-10"/>
                <w:sz w:val="18"/>
              </w:rPr>
              <w:t>%</w:t>
            </w:r>
          </w:p>
        </w:tc>
        <w:tc>
          <w:tcPr>
            <w:tcW w:w="3433" w:type="dxa"/>
          </w:tcPr>
          <w:p>
            <w:pPr>
              <w:pStyle w:val="TableParagraph"/>
              <w:spacing w:line="200" w:lineRule="atLeast"/>
              <w:ind w:left="108"/>
              <w:rPr>
                <w:b/>
                <w:sz w:val="18"/>
              </w:rPr>
            </w:pPr>
            <w:r>
              <w:rPr>
                <w:b/>
                <w:sz w:val="18"/>
              </w:rPr>
              <w:t>Pressupost</w:t>
            </w:r>
            <w:r>
              <w:rPr>
                <w:b/>
                <w:spacing w:val="40"/>
                <w:sz w:val="18"/>
              </w:rPr>
              <w:t> </w:t>
            </w:r>
            <w:r>
              <w:rPr>
                <w:b/>
                <w:sz w:val="18"/>
              </w:rPr>
              <w:t>base</w:t>
            </w:r>
            <w:r>
              <w:rPr>
                <w:b/>
                <w:spacing w:val="40"/>
                <w:sz w:val="18"/>
              </w:rPr>
              <w:t> </w:t>
            </w:r>
            <w:r>
              <w:rPr>
                <w:b/>
                <w:sz w:val="18"/>
              </w:rPr>
              <w:t>de</w:t>
            </w:r>
            <w:r>
              <w:rPr>
                <w:b/>
                <w:spacing w:val="40"/>
                <w:sz w:val="18"/>
              </w:rPr>
              <w:t> </w:t>
            </w:r>
            <w:r>
              <w:rPr>
                <w:b/>
                <w:sz w:val="18"/>
              </w:rPr>
              <w:t>licitació</w:t>
            </w:r>
            <w:r>
              <w:rPr>
                <w:b/>
                <w:spacing w:val="40"/>
                <w:sz w:val="18"/>
              </w:rPr>
              <w:t> </w:t>
            </w:r>
            <w:r>
              <w:rPr>
                <w:b/>
                <w:sz w:val="18"/>
              </w:rPr>
              <w:t>ofert, IVA inclòs</w:t>
            </w:r>
          </w:p>
        </w:tc>
      </w:tr>
      <w:tr>
        <w:trPr>
          <w:trHeight w:val="206" w:hRule="atLeast"/>
        </w:trPr>
        <w:tc>
          <w:tcPr>
            <w:tcW w:w="3370" w:type="dxa"/>
            <w:shd w:val="clear" w:color="auto" w:fill="A6A6A6"/>
          </w:tcPr>
          <w:p>
            <w:pPr>
              <w:pStyle w:val="TableParagraph"/>
              <w:spacing w:line="187" w:lineRule="exact"/>
              <w:ind w:right="97"/>
              <w:jc w:val="right"/>
              <w:rPr>
                <w:sz w:val="18"/>
              </w:rPr>
            </w:pPr>
            <w:r>
              <w:rPr>
                <w:spacing w:val="-2"/>
                <w:sz w:val="18"/>
              </w:rPr>
              <w:t>euros</w:t>
            </w:r>
          </w:p>
        </w:tc>
        <w:tc>
          <w:tcPr>
            <w:tcW w:w="1842" w:type="dxa"/>
            <w:shd w:val="clear" w:color="auto" w:fill="A6A6A6"/>
          </w:tcPr>
          <w:p>
            <w:pPr>
              <w:pStyle w:val="TableParagraph"/>
              <w:spacing w:line="187" w:lineRule="exact"/>
              <w:ind w:right="97"/>
              <w:jc w:val="right"/>
              <w:rPr>
                <w:sz w:val="18"/>
              </w:rPr>
            </w:pPr>
            <w:r>
              <w:rPr>
                <w:spacing w:val="-2"/>
                <w:sz w:val="18"/>
              </w:rPr>
              <w:t>euros</w:t>
            </w:r>
          </w:p>
        </w:tc>
        <w:tc>
          <w:tcPr>
            <w:tcW w:w="3433" w:type="dxa"/>
            <w:shd w:val="clear" w:color="auto" w:fill="A6A6A6"/>
          </w:tcPr>
          <w:p>
            <w:pPr>
              <w:pStyle w:val="TableParagraph"/>
              <w:spacing w:line="187" w:lineRule="exact"/>
              <w:ind w:right="97"/>
              <w:jc w:val="right"/>
              <w:rPr>
                <w:sz w:val="18"/>
              </w:rPr>
            </w:pPr>
            <w:r>
              <w:rPr>
                <w:spacing w:val="-2"/>
                <w:sz w:val="18"/>
              </w:rPr>
              <w:t>euros</w:t>
            </w:r>
          </w:p>
        </w:tc>
      </w:tr>
    </w:tbl>
    <w:p>
      <w:pPr>
        <w:pStyle w:val="BodyText"/>
        <w:rPr>
          <w:sz w:val="18"/>
        </w:rPr>
      </w:pPr>
    </w:p>
    <w:p>
      <w:pPr>
        <w:pStyle w:val="BodyText"/>
        <w:rPr>
          <w:sz w:val="18"/>
        </w:rPr>
      </w:pPr>
    </w:p>
    <w:p>
      <w:pPr>
        <w:pStyle w:val="BodyText"/>
        <w:spacing w:before="139"/>
        <w:rPr>
          <w:sz w:val="18"/>
        </w:rPr>
      </w:pPr>
    </w:p>
    <w:p>
      <w:pPr>
        <w:pStyle w:val="BodyText"/>
        <w:spacing w:before="1"/>
        <w:ind w:left="1702"/>
      </w:pPr>
      <w:r>
        <w:rPr/>
        <w:t>,</w:t>
      </w:r>
      <w:r>
        <w:rPr>
          <w:spacing w:val="-12"/>
        </w:rPr>
        <w:t> </w:t>
      </w:r>
      <w:r>
        <w:rPr/>
        <w:t>a</w:t>
      </w:r>
      <w:r>
        <w:rPr>
          <w:spacing w:val="-10"/>
        </w:rPr>
        <w:t> </w:t>
      </w:r>
      <w:r>
        <w:rPr/>
        <w:t>data</w:t>
      </w:r>
      <w:r>
        <w:rPr>
          <w:spacing w:val="-10"/>
        </w:rPr>
        <w:t> </w:t>
      </w:r>
      <w:r>
        <w:rPr/>
        <w:t>de</w:t>
      </w:r>
      <w:r>
        <w:rPr>
          <w:spacing w:val="-10"/>
        </w:rPr>
        <w:t> </w:t>
      </w:r>
      <w:r>
        <w:rPr/>
        <w:t>signatura</w:t>
      </w:r>
      <w:r>
        <w:rPr>
          <w:spacing w:val="-11"/>
        </w:rPr>
        <w:t> </w:t>
      </w:r>
      <w:r>
        <w:rPr>
          <w:spacing w:val="-2"/>
        </w:rPr>
        <w:t>electrònica</w:t>
      </w:r>
    </w:p>
    <w:p>
      <w:pPr>
        <w:pStyle w:val="BodyText"/>
        <w:spacing w:before="229"/>
      </w:pPr>
    </w:p>
    <w:p>
      <w:pPr>
        <w:pStyle w:val="BodyText"/>
        <w:spacing w:before="1"/>
        <w:ind w:left="284"/>
      </w:pPr>
      <w:r>
        <w:rPr>
          <w:spacing w:val="-2"/>
        </w:rPr>
        <w:t>Signat,</w:t>
      </w:r>
    </w:p>
    <w:sectPr>
      <w:footerReference w:type="default" r:id="rId5"/>
      <w:type w:val="continuous"/>
      <w:pgSz w:w="11910" w:h="16840"/>
      <w:pgMar w:header="0" w:footer="552" w:top="1340" w:bottom="780" w:left="1417" w:right="1417"/>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200" w:lineRule="exact"/>
    </w:pPr>
    <w:r>
      <w:rPr/>
      <mc:AlternateContent>
        <mc:Choice Requires="wps">
          <w:drawing>
            <wp:anchor distT="0" distB="0" distL="0" distR="0" allowOverlap="1" layoutInCell="1" locked="0" behindDoc="1" simplePos="0" relativeHeight="487519744">
              <wp:simplePos x="0" y="0"/>
              <wp:positionH relativeFrom="page">
                <wp:posOffset>1291539</wp:posOffset>
              </wp:positionH>
              <wp:positionV relativeFrom="page">
                <wp:posOffset>10176269</wp:posOffset>
              </wp:positionV>
              <wp:extent cx="4888230" cy="125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88230" cy="125095"/>
                      </a:xfrm>
                      <a:prstGeom prst="rect">
                        <a:avLst/>
                      </a:prstGeom>
                    </wps:spPr>
                    <wps:txbx>
                      <w:txbxContent>
                        <w:p>
                          <w:pPr>
                            <w:spacing w:before="15"/>
                            <w:ind w:left="20" w:right="0" w:firstLine="0"/>
                            <w:jc w:val="left"/>
                            <w:rPr>
                              <w:sz w:val="14"/>
                            </w:rPr>
                          </w:pPr>
                          <w:r>
                            <w:rPr>
                              <w:b/>
                              <w:sz w:val="14"/>
                            </w:rPr>
                            <w:t>Ajuntament</w:t>
                          </w:r>
                          <w:r>
                            <w:rPr>
                              <w:b/>
                              <w:spacing w:val="-2"/>
                              <w:sz w:val="14"/>
                            </w:rPr>
                            <w:t> </w:t>
                          </w:r>
                          <w:r>
                            <w:rPr>
                              <w:b/>
                              <w:sz w:val="14"/>
                            </w:rPr>
                            <w:t>de</w:t>
                          </w:r>
                          <w:r>
                            <w:rPr>
                              <w:b/>
                              <w:spacing w:val="-1"/>
                              <w:sz w:val="14"/>
                            </w:rPr>
                            <w:t> </w:t>
                          </w:r>
                          <w:r>
                            <w:rPr>
                              <w:b/>
                              <w:sz w:val="14"/>
                            </w:rPr>
                            <w:t>Sabadell</w:t>
                          </w:r>
                          <w:r>
                            <w:rPr>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5796736" type="#_x0000_t202" id="docshape1" filled="false" stroked="false">
              <v:textbox inset="0,0,0,0">
                <w:txbxContent>
                  <w:p>
                    <w:pPr>
                      <w:spacing w:before="15"/>
                      <w:ind w:left="20" w:right="0" w:firstLine="0"/>
                      <w:jc w:val="left"/>
                      <w:rPr>
                        <w:sz w:val="14"/>
                      </w:rPr>
                    </w:pPr>
                    <w:r>
                      <w:rPr>
                        <w:b/>
                        <w:sz w:val="14"/>
                      </w:rPr>
                      <w:t>Ajuntament</w:t>
                    </w:r>
                    <w:r>
                      <w:rPr>
                        <w:b/>
                        <w:spacing w:val="-2"/>
                        <w:sz w:val="14"/>
                      </w:rPr>
                      <w:t> </w:t>
                    </w:r>
                    <w:r>
                      <w:rPr>
                        <w:b/>
                        <w:sz w:val="14"/>
                      </w:rPr>
                      <w:t>de</w:t>
                    </w:r>
                    <w:r>
                      <w:rPr>
                        <w:b/>
                        <w:spacing w:val="-1"/>
                        <w:sz w:val="14"/>
                      </w:rPr>
                      <w:t> </w:t>
                    </w:r>
                    <w:r>
                      <w:rPr>
                        <w:b/>
                        <w:sz w:val="14"/>
                      </w:rPr>
                      <w:t>Sabadell</w:t>
                    </w:r>
                    <w:r>
                      <w:rPr>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mc:AlternateContent>
        <mc:Choice Requires="wps">
          <w:drawing>
            <wp:anchor distT="0" distB="0" distL="0" distR="0" allowOverlap="1" layoutInCell="1" locked="0" behindDoc="1" simplePos="0" relativeHeight="487520256">
              <wp:simplePos x="0" y="0"/>
              <wp:positionH relativeFrom="page">
                <wp:posOffset>6213868</wp:posOffset>
              </wp:positionH>
              <wp:positionV relativeFrom="page">
                <wp:posOffset>10337327</wp:posOffset>
              </wp:positionV>
              <wp:extent cx="280035"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80035" cy="139065"/>
                      </a:xfrm>
                      <a:prstGeom prst="rect">
                        <a:avLst/>
                      </a:prstGeom>
                    </wps:spPr>
                    <wps:txbx>
                      <w:txbxContent>
                        <w:p>
                          <w:pPr>
                            <w:spacing w:before="14"/>
                            <w:ind w:left="20" w:right="0" w:firstLine="0"/>
                            <w:jc w:val="left"/>
                            <w:rPr>
                              <w:sz w:val="16"/>
                            </w:rPr>
                          </w:pPr>
                          <w:r>
                            <w:rPr>
                              <w:spacing w:val="-2"/>
                              <w:sz w:val="16"/>
                            </w:rPr>
                            <w:t>42/43</w:t>
                          </w:r>
                        </w:p>
                      </w:txbxContent>
                    </wps:txbx>
                    <wps:bodyPr wrap="square" lIns="0" tIns="0" rIns="0" bIns="0" rtlCol="0">
                      <a:noAutofit/>
                    </wps:bodyPr>
                  </wps:wsp>
                </a:graphicData>
              </a:graphic>
            </wp:anchor>
          </w:drawing>
        </mc:Choice>
        <mc:Fallback>
          <w:pict>
            <v:shape style="position:absolute;margin-left:489.280975pt;margin-top:813.96283pt;width:22.05pt;height:10.95pt;mso-position-horizontal-relative:page;mso-position-vertical-relative:page;z-index:-15796224" type="#_x0000_t202" id="docshape2" filled="false" stroked="false">
              <v:textbox inset="0,0,0,0">
                <w:txbxContent>
                  <w:p>
                    <w:pPr>
                      <w:spacing w:before="14"/>
                      <w:ind w:left="20" w:right="0" w:firstLine="0"/>
                      <w:jc w:val="left"/>
                      <w:rPr>
                        <w:sz w:val="16"/>
                      </w:rPr>
                    </w:pPr>
                    <w:r>
                      <w:rPr>
                        <w:spacing w:val="-2"/>
                        <w:sz w:val="16"/>
                      </w:rPr>
                      <w:t>42/43</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ca-ES" w:eastAsia="en-US" w:bidi="ar-SA"/>
    </w:rPr>
  </w:style>
  <w:style w:styleId="BodyText" w:type="paragraph">
    <w:name w:val="Body Text"/>
    <w:basedOn w:val="Normal"/>
    <w:uiPriority w:val="1"/>
    <w:qFormat/>
    <w:pPr/>
    <w:rPr>
      <w:rFonts w:ascii="Arial" w:hAnsi="Arial" w:eastAsia="Arial" w:cs="Arial"/>
      <w:sz w:val="20"/>
      <w:szCs w:val="20"/>
      <w:lang w:val="ca-ES" w:eastAsia="en-US" w:bidi="ar-SA"/>
    </w:rPr>
  </w:style>
  <w:style w:styleId="Heading1" w:type="paragraph">
    <w:name w:val="Heading 1"/>
    <w:basedOn w:val="Normal"/>
    <w:uiPriority w:val="1"/>
    <w:qFormat/>
    <w:pPr>
      <w:spacing w:before="82"/>
      <w:ind w:left="284"/>
      <w:outlineLvl w:val="1"/>
    </w:pPr>
    <w:rPr>
      <w:rFonts w:ascii="Arial" w:hAnsi="Arial" w:eastAsia="Arial" w:cs="Arial"/>
      <w:b/>
      <w:bCs/>
      <w:sz w:val="22"/>
      <w:szCs w:val="22"/>
      <w:u w:val="single" w:color="000000"/>
      <w:lang w:val="ca-ES" w:eastAsia="en-US" w:bidi="ar-SA"/>
    </w:rPr>
  </w:style>
  <w:style w:styleId="Heading2" w:type="paragraph">
    <w:name w:val="Heading 2"/>
    <w:basedOn w:val="Normal"/>
    <w:uiPriority w:val="1"/>
    <w:qFormat/>
    <w:pPr>
      <w:ind w:left="284"/>
      <w:outlineLvl w:val="2"/>
    </w:pPr>
    <w:rPr>
      <w:rFonts w:ascii="Arial" w:hAnsi="Arial" w:eastAsia="Arial" w:cs="Arial"/>
      <w:b/>
      <w:bCs/>
      <w:sz w:val="20"/>
      <w:szCs w:val="20"/>
      <w:lang w:val="ca-ES" w:eastAsia="en-US" w:bidi="ar-SA"/>
    </w:rPr>
  </w:style>
  <w:style w:styleId="ListParagraph" w:type="paragraph">
    <w:name w:val="List Paragraph"/>
    <w:basedOn w:val="Normal"/>
    <w:uiPriority w:val="1"/>
    <w:qFormat/>
    <w:pPr/>
    <w:rPr>
      <w:lang w:val="ca-ES" w:eastAsia="en-US" w:bidi="ar-SA"/>
    </w:rPr>
  </w:style>
  <w:style w:styleId="TableParagraph" w:type="paragraph">
    <w:name w:val="Table Paragraph"/>
    <w:basedOn w:val="Normal"/>
    <w:uiPriority w:val="1"/>
    <w:qFormat/>
    <w:pPr/>
    <w:rPr>
      <w:rFonts w:ascii="Arial" w:hAnsi="Arial" w:eastAsia="Arial" w:cs="Arial"/>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2026-10-14T06:51:59Z</dcterms:created>
  <dcterms:modified xsi:type="dcterms:W3CDTF">2026-10-14T06:51:59Z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2026-10-14T00:00:00Z</vt:filetime>
  </property>
  <property fmtid="{D5CDD505-2E9C-101B-9397-08002B2CF9AE}" pid="4" name="LastSaved">
    <vt:filetime>2026-10-14T00:00:00Z</vt:filetime>
  </property>
  <property fmtid="{D5CDD505-2E9C-101B-9397-08002B2CF9AE}" pid="5" name="Producer">
    <vt:lpwstr>iLovePDF</vt:lpwstr>
  </property>
</Properties>
</file>